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96" w:rsidRDefault="00165A96" w:rsidP="00165A96">
      <w:pPr>
        <w:ind w:left="-98" w:right="-284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8231E" w:rsidRDefault="00E8231E" w:rsidP="00165A96">
      <w:pPr>
        <w:ind w:left="-98" w:right="-284"/>
        <w:rPr>
          <w:rFonts w:ascii="Arial" w:hAnsi="Arial" w:cs="Arial"/>
          <w:b/>
          <w:sz w:val="28"/>
          <w:szCs w:val="28"/>
        </w:rPr>
      </w:pPr>
    </w:p>
    <w:p w:rsidR="0089262F" w:rsidRPr="00C45DBF" w:rsidRDefault="004820BE" w:rsidP="00165A96">
      <w:pPr>
        <w:ind w:left="-98" w:right="-284"/>
        <w:rPr>
          <w:rFonts w:ascii="Arial" w:hAnsi="Arial" w:cs="Arial"/>
          <w:b/>
          <w:sz w:val="28"/>
          <w:szCs w:val="28"/>
        </w:rPr>
      </w:pPr>
      <w:r w:rsidRPr="00C45DBF">
        <w:rPr>
          <w:rFonts w:ascii="Arial" w:hAnsi="Arial" w:cs="Arial"/>
          <w:b/>
          <w:sz w:val="28"/>
          <w:szCs w:val="28"/>
        </w:rPr>
        <w:t>Introd</w:t>
      </w:r>
      <w:r w:rsidR="00D931CF" w:rsidRPr="00C45DBF">
        <w:rPr>
          <w:rFonts w:ascii="Arial" w:hAnsi="Arial" w:cs="Arial"/>
          <w:b/>
          <w:sz w:val="28"/>
          <w:szCs w:val="28"/>
        </w:rPr>
        <w:t xml:space="preserve">uction à la procédure de RI – </w:t>
      </w:r>
      <w:r w:rsidRPr="00C45DBF">
        <w:rPr>
          <w:rFonts w:ascii="Arial" w:hAnsi="Arial" w:cs="Arial"/>
          <w:b/>
          <w:sz w:val="28"/>
          <w:szCs w:val="28"/>
        </w:rPr>
        <w:t xml:space="preserve">PP dans le secteur </w:t>
      </w:r>
      <w:r w:rsidR="00F0028F" w:rsidRPr="00C45DBF">
        <w:rPr>
          <w:rFonts w:ascii="Arial" w:hAnsi="Arial" w:cs="Arial"/>
          <w:b/>
          <w:sz w:val="28"/>
          <w:szCs w:val="28"/>
        </w:rPr>
        <w:t>du service</w:t>
      </w:r>
    </w:p>
    <w:p w:rsidR="004820BE" w:rsidRPr="005C3E13" w:rsidRDefault="004820BE" w:rsidP="00C45DBF">
      <w:pPr>
        <w:ind w:left="-98" w:right="-284"/>
        <w:rPr>
          <w:rFonts w:ascii="Arial" w:hAnsi="Arial" w:cs="Arial"/>
        </w:rPr>
      </w:pPr>
    </w:p>
    <w:p w:rsidR="00C7765B" w:rsidRPr="005C3E13" w:rsidRDefault="00C7765B" w:rsidP="00C45DBF">
      <w:pPr>
        <w:ind w:left="-98" w:right="-284"/>
        <w:rPr>
          <w:rFonts w:ascii="Arial" w:hAnsi="Arial" w:cs="Arial"/>
        </w:rPr>
      </w:pPr>
    </w:p>
    <w:p w:rsidR="004820BE" w:rsidRPr="00C45DBF" w:rsidRDefault="00673186" w:rsidP="00E8231E">
      <w:pPr>
        <w:spacing w:line="270" w:lineRule="exact"/>
        <w:ind w:left="-98" w:right="-284"/>
        <w:rPr>
          <w:rFonts w:ascii="Arial" w:hAnsi="Arial" w:cs="Arial"/>
          <w:sz w:val="20"/>
          <w:szCs w:val="20"/>
        </w:rPr>
      </w:pPr>
      <w:r w:rsidRPr="00C45DBF">
        <w:rPr>
          <w:rFonts w:ascii="Arial" w:hAnsi="Arial" w:cs="Arial"/>
          <w:sz w:val="20"/>
          <w:szCs w:val="20"/>
        </w:rPr>
        <w:t>Les CIO, sous l’égide du SFOP</w:t>
      </w:r>
      <w:r w:rsidR="00C45DBF">
        <w:rPr>
          <w:rFonts w:ascii="Arial" w:hAnsi="Arial" w:cs="Arial"/>
          <w:sz w:val="20"/>
          <w:szCs w:val="20"/>
        </w:rPr>
        <w:t xml:space="preserve"> et en collaboration avec</w:t>
      </w:r>
      <w:r w:rsidR="004820BE" w:rsidRPr="00C45DBF">
        <w:rPr>
          <w:rFonts w:ascii="Arial" w:hAnsi="Arial" w:cs="Arial"/>
          <w:sz w:val="20"/>
          <w:szCs w:val="20"/>
        </w:rPr>
        <w:t xml:space="preserve"> les Associations professionnelles,</w:t>
      </w:r>
      <w:r w:rsidR="003D38A6" w:rsidRPr="00C45DBF">
        <w:rPr>
          <w:rFonts w:ascii="Arial" w:hAnsi="Arial" w:cs="Arial"/>
          <w:sz w:val="20"/>
          <w:szCs w:val="20"/>
        </w:rPr>
        <w:t xml:space="preserve"> pratiquent la Reconnaissance I</w:t>
      </w:r>
      <w:r w:rsidR="004820BE" w:rsidRPr="00C45DBF">
        <w:rPr>
          <w:rFonts w:ascii="Arial" w:hAnsi="Arial" w:cs="Arial"/>
          <w:sz w:val="20"/>
          <w:szCs w:val="20"/>
        </w:rPr>
        <w:t>nstitutionnelle (RI</w:t>
      </w:r>
      <w:r w:rsidR="003D38A6" w:rsidRPr="00C45DBF">
        <w:rPr>
          <w:rFonts w:ascii="Arial" w:hAnsi="Arial" w:cs="Arial"/>
          <w:sz w:val="20"/>
          <w:szCs w:val="20"/>
        </w:rPr>
        <w:t>) des acquis depuis 1995 et la V</w:t>
      </w:r>
      <w:r w:rsidR="004820BE" w:rsidRPr="00C45DBF">
        <w:rPr>
          <w:rFonts w:ascii="Arial" w:hAnsi="Arial" w:cs="Arial"/>
          <w:sz w:val="20"/>
          <w:szCs w:val="20"/>
        </w:rPr>
        <w:t xml:space="preserve">alidation des acquis </w:t>
      </w:r>
      <w:r w:rsidR="00C45DBF">
        <w:rPr>
          <w:rFonts w:ascii="Arial" w:hAnsi="Arial" w:cs="Arial"/>
          <w:sz w:val="20"/>
          <w:szCs w:val="20"/>
        </w:rPr>
        <w:t xml:space="preserve">de l’expertise </w:t>
      </w:r>
      <w:r w:rsidR="004820BE" w:rsidRPr="00C45DBF">
        <w:rPr>
          <w:rFonts w:ascii="Arial" w:hAnsi="Arial" w:cs="Arial"/>
          <w:sz w:val="20"/>
          <w:szCs w:val="20"/>
        </w:rPr>
        <w:t>(VA</w:t>
      </w:r>
      <w:r w:rsidR="00C45DBF">
        <w:rPr>
          <w:rFonts w:ascii="Arial" w:hAnsi="Arial" w:cs="Arial"/>
          <w:sz w:val="20"/>
          <w:szCs w:val="20"/>
        </w:rPr>
        <w:t xml:space="preserve">E) </w:t>
      </w:r>
      <w:r w:rsidR="004820BE" w:rsidRPr="00C45DBF">
        <w:rPr>
          <w:rFonts w:ascii="Arial" w:hAnsi="Arial" w:cs="Arial"/>
          <w:sz w:val="20"/>
          <w:szCs w:val="20"/>
        </w:rPr>
        <w:t>depuis 2002.</w:t>
      </w:r>
    </w:p>
    <w:p w:rsidR="00C7765B" w:rsidRPr="00C45DBF" w:rsidRDefault="00C7765B" w:rsidP="00E8231E">
      <w:pPr>
        <w:spacing w:line="270" w:lineRule="exact"/>
        <w:ind w:left="-98" w:right="-284"/>
        <w:rPr>
          <w:rFonts w:ascii="Arial" w:hAnsi="Arial" w:cs="Arial"/>
          <w:sz w:val="20"/>
          <w:szCs w:val="20"/>
        </w:rPr>
      </w:pPr>
    </w:p>
    <w:p w:rsidR="004820BE" w:rsidRPr="00C45DBF" w:rsidRDefault="004820BE" w:rsidP="00E8231E">
      <w:pPr>
        <w:spacing w:line="270" w:lineRule="exact"/>
        <w:ind w:left="-98" w:right="-284"/>
        <w:rPr>
          <w:rFonts w:ascii="Arial" w:hAnsi="Arial" w:cs="Arial"/>
          <w:sz w:val="20"/>
          <w:szCs w:val="20"/>
        </w:rPr>
      </w:pPr>
    </w:p>
    <w:p w:rsidR="004820BE" w:rsidRPr="00C45DBF" w:rsidRDefault="004820BE" w:rsidP="00E8231E">
      <w:pPr>
        <w:spacing w:line="270" w:lineRule="exact"/>
        <w:ind w:left="-98" w:right="-284"/>
        <w:rPr>
          <w:rFonts w:ascii="Arial" w:hAnsi="Arial" w:cs="Arial"/>
          <w:sz w:val="20"/>
          <w:szCs w:val="20"/>
        </w:rPr>
      </w:pPr>
      <w:r w:rsidRPr="00C45DBF">
        <w:rPr>
          <w:rFonts w:ascii="Arial" w:hAnsi="Arial" w:cs="Arial"/>
          <w:sz w:val="20"/>
          <w:szCs w:val="20"/>
        </w:rPr>
        <w:t>La volonté de construire des passerelles entre les deux systèmes de certification a été const</w:t>
      </w:r>
      <w:r w:rsidR="0065208C" w:rsidRPr="00C45DBF">
        <w:rPr>
          <w:rFonts w:ascii="Arial" w:hAnsi="Arial" w:cs="Arial"/>
          <w:sz w:val="20"/>
          <w:szCs w:val="20"/>
        </w:rPr>
        <w:t xml:space="preserve">ante </w:t>
      </w:r>
      <w:r w:rsidR="003D38A6" w:rsidRPr="00C45DBF">
        <w:rPr>
          <w:rFonts w:ascii="Arial" w:hAnsi="Arial" w:cs="Arial"/>
          <w:sz w:val="20"/>
          <w:szCs w:val="20"/>
        </w:rPr>
        <w:t>tout au long de</w:t>
      </w:r>
      <w:r w:rsidR="0065208C" w:rsidRPr="00C45DBF">
        <w:rPr>
          <w:rFonts w:ascii="Arial" w:hAnsi="Arial" w:cs="Arial"/>
          <w:sz w:val="20"/>
          <w:szCs w:val="20"/>
        </w:rPr>
        <w:t xml:space="preserve"> ce parcours et </w:t>
      </w:r>
      <w:r w:rsidR="00E8231E">
        <w:rPr>
          <w:rFonts w:ascii="Arial" w:hAnsi="Arial" w:cs="Arial"/>
          <w:sz w:val="20"/>
          <w:szCs w:val="20"/>
        </w:rPr>
        <w:t>s</w:t>
      </w:r>
      <w:r w:rsidRPr="00C45DBF">
        <w:rPr>
          <w:rFonts w:ascii="Arial" w:hAnsi="Arial" w:cs="Arial"/>
          <w:sz w:val="20"/>
          <w:szCs w:val="20"/>
        </w:rPr>
        <w:t xml:space="preserve">es nombreuses expériences ; </w:t>
      </w:r>
      <w:r w:rsidR="00C45DBF">
        <w:rPr>
          <w:rFonts w:ascii="Arial" w:hAnsi="Arial" w:cs="Arial"/>
          <w:sz w:val="20"/>
          <w:szCs w:val="20"/>
        </w:rPr>
        <w:t>est présentée</w:t>
      </w:r>
      <w:r w:rsidRPr="00C45DBF">
        <w:rPr>
          <w:rFonts w:ascii="Arial" w:hAnsi="Arial" w:cs="Arial"/>
          <w:sz w:val="20"/>
          <w:szCs w:val="20"/>
        </w:rPr>
        <w:t xml:space="preserve"> </w:t>
      </w:r>
      <w:r w:rsidR="0065208C" w:rsidRPr="00C45DBF">
        <w:rPr>
          <w:rFonts w:ascii="Arial" w:hAnsi="Arial" w:cs="Arial"/>
          <w:sz w:val="20"/>
          <w:szCs w:val="20"/>
        </w:rPr>
        <w:t>ici</w:t>
      </w:r>
      <w:r w:rsidRPr="00C45DBF">
        <w:rPr>
          <w:rFonts w:ascii="Arial" w:hAnsi="Arial" w:cs="Arial"/>
          <w:sz w:val="20"/>
          <w:szCs w:val="20"/>
        </w:rPr>
        <w:t xml:space="preserve"> une procédure </w:t>
      </w:r>
      <w:r w:rsidR="0065208C" w:rsidRPr="00C45DBF">
        <w:rPr>
          <w:rFonts w:ascii="Arial" w:hAnsi="Arial" w:cs="Arial"/>
          <w:sz w:val="20"/>
          <w:szCs w:val="20"/>
        </w:rPr>
        <w:t xml:space="preserve">nouvelle </w:t>
      </w:r>
      <w:r w:rsidRPr="00C45DBF">
        <w:rPr>
          <w:rFonts w:ascii="Arial" w:hAnsi="Arial" w:cs="Arial"/>
          <w:sz w:val="20"/>
          <w:szCs w:val="20"/>
        </w:rPr>
        <w:t>qui doit permettre d’atteindre les objectifs suivants :</w:t>
      </w:r>
    </w:p>
    <w:p w:rsidR="004820BE" w:rsidRPr="00C45DBF" w:rsidRDefault="004820BE" w:rsidP="00E8231E">
      <w:pPr>
        <w:spacing w:line="270" w:lineRule="exact"/>
        <w:ind w:left="142" w:right="-284" w:hanging="254"/>
        <w:rPr>
          <w:rFonts w:ascii="Arial" w:hAnsi="Arial" w:cs="Arial"/>
          <w:sz w:val="20"/>
          <w:szCs w:val="20"/>
        </w:rPr>
      </w:pPr>
    </w:p>
    <w:p w:rsidR="004820BE" w:rsidRPr="00C45DBF" w:rsidRDefault="004820BE" w:rsidP="00E8231E">
      <w:pPr>
        <w:pStyle w:val="Paragraphedeliste"/>
        <w:numPr>
          <w:ilvl w:val="0"/>
          <w:numId w:val="1"/>
        </w:numPr>
        <w:spacing w:line="270" w:lineRule="exact"/>
        <w:ind w:left="284" w:right="-284" w:hanging="354"/>
        <w:rPr>
          <w:rFonts w:ascii="Arial" w:hAnsi="Arial" w:cs="Arial"/>
          <w:sz w:val="20"/>
          <w:szCs w:val="20"/>
        </w:rPr>
      </w:pPr>
      <w:r w:rsidRPr="00C45DBF">
        <w:rPr>
          <w:rFonts w:ascii="Arial" w:hAnsi="Arial" w:cs="Arial"/>
          <w:sz w:val="20"/>
          <w:szCs w:val="20"/>
        </w:rPr>
        <w:t>Prendre en compte l’expér</w:t>
      </w:r>
      <w:r w:rsidR="00F30530">
        <w:rPr>
          <w:rFonts w:ascii="Arial" w:hAnsi="Arial" w:cs="Arial"/>
          <w:sz w:val="20"/>
          <w:szCs w:val="20"/>
        </w:rPr>
        <w:t>ience professionnelle des non ou</w:t>
      </w:r>
      <w:r w:rsidRPr="00C45DBF">
        <w:rPr>
          <w:rFonts w:ascii="Arial" w:hAnsi="Arial" w:cs="Arial"/>
          <w:sz w:val="20"/>
          <w:szCs w:val="20"/>
        </w:rPr>
        <w:t xml:space="preserve"> semi-qualifiés </w:t>
      </w:r>
      <w:r w:rsidR="003D38A6" w:rsidRPr="00C45DBF">
        <w:rPr>
          <w:rFonts w:ascii="Arial" w:hAnsi="Arial" w:cs="Arial"/>
          <w:sz w:val="20"/>
          <w:szCs w:val="20"/>
        </w:rPr>
        <w:t xml:space="preserve">dans le secteur </w:t>
      </w:r>
      <w:r w:rsidR="00F0028F" w:rsidRPr="00C45DBF">
        <w:rPr>
          <w:rFonts w:ascii="Arial" w:hAnsi="Arial" w:cs="Arial"/>
          <w:sz w:val="20"/>
          <w:szCs w:val="20"/>
        </w:rPr>
        <w:t>du service</w:t>
      </w:r>
      <w:r w:rsidR="00C45DBF">
        <w:rPr>
          <w:rFonts w:ascii="Arial" w:hAnsi="Arial" w:cs="Arial"/>
          <w:sz w:val="20"/>
          <w:szCs w:val="20"/>
        </w:rPr>
        <w:t xml:space="preserve"> </w:t>
      </w:r>
      <w:r w:rsidRPr="00C45DBF">
        <w:rPr>
          <w:rFonts w:ascii="Arial" w:hAnsi="Arial" w:cs="Arial"/>
          <w:sz w:val="20"/>
          <w:szCs w:val="20"/>
        </w:rPr>
        <w:t>;</w:t>
      </w:r>
    </w:p>
    <w:p w:rsidR="004820BE" w:rsidRPr="00C45DBF" w:rsidRDefault="004820BE" w:rsidP="00E8231E">
      <w:pPr>
        <w:pStyle w:val="Paragraphedeliste"/>
        <w:numPr>
          <w:ilvl w:val="0"/>
          <w:numId w:val="1"/>
        </w:numPr>
        <w:spacing w:line="270" w:lineRule="exact"/>
        <w:ind w:left="284" w:right="-284" w:hanging="354"/>
        <w:rPr>
          <w:rFonts w:ascii="Arial" w:hAnsi="Arial" w:cs="Arial"/>
          <w:sz w:val="20"/>
          <w:szCs w:val="20"/>
        </w:rPr>
      </w:pPr>
      <w:r w:rsidRPr="00C45DBF">
        <w:rPr>
          <w:rFonts w:ascii="Arial" w:hAnsi="Arial" w:cs="Arial"/>
          <w:sz w:val="20"/>
          <w:szCs w:val="20"/>
        </w:rPr>
        <w:t>Intégrer cette prise en compte dan</w:t>
      </w:r>
      <w:r w:rsidR="00673186" w:rsidRPr="00C45DBF">
        <w:rPr>
          <w:rFonts w:ascii="Arial" w:hAnsi="Arial" w:cs="Arial"/>
          <w:sz w:val="20"/>
          <w:szCs w:val="20"/>
        </w:rPr>
        <w:t xml:space="preserve">s le système officiel national </w:t>
      </w:r>
      <w:r w:rsidRPr="00C45DBF">
        <w:rPr>
          <w:rFonts w:ascii="Arial" w:hAnsi="Arial" w:cs="Arial"/>
          <w:sz w:val="20"/>
          <w:szCs w:val="20"/>
        </w:rPr>
        <w:t>de certification ;</w:t>
      </w:r>
    </w:p>
    <w:p w:rsidR="004820BE" w:rsidRPr="00C45DBF" w:rsidRDefault="004820BE" w:rsidP="00E8231E">
      <w:pPr>
        <w:pStyle w:val="Paragraphedeliste"/>
        <w:numPr>
          <w:ilvl w:val="0"/>
          <w:numId w:val="1"/>
        </w:numPr>
        <w:spacing w:line="270" w:lineRule="exact"/>
        <w:ind w:left="284" w:right="-284" w:hanging="354"/>
        <w:rPr>
          <w:rFonts w:ascii="Arial" w:hAnsi="Arial" w:cs="Arial"/>
          <w:sz w:val="20"/>
          <w:szCs w:val="20"/>
        </w:rPr>
      </w:pPr>
      <w:r w:rsidRPr="00C45DBF">
        <w:rPr>
          <w:rFonts w:ascii="Arial" w:hAnsi="Arial" w:cs="Arial"/>
          <w:sz w:val="20"/>
          <w:szCs w:val="20"/>
        </w:rPr>
        <w:t xml:space="preserve">Permettre aux personnes expérimentées mais mal qualifiées d’améliorer leur visibilité et leur </w:t>
      </w:r>
      <w:r w:rsidR="00C7765B" w:rsidRPr="00C45DBF">
        <w:rPr>
          <w:rFonts w:ascii="Arial" w:hAnsi="Arial" w:cs="Arial"/>
          <w:sz w:val="20"/>
          <w:szCs w:val="20"/>
        </w:rPr>
        <w:t>employabilité ;</w:t>
      </w:r>
    </w:p>
    <w:p w:rsidR="00C7765B" w:rsidRPr="00C45DBF" w:rsidRDefault="00C7765B" w:rsidP="00E8231E">
      <w:pPr>
        <w:pStyle w:val="Paragraphedeliste"/>
        <w:numPr>
          <w:ilvl w:val="0"/>
          <w:numId w:val="1"/>
        </w:numPr>
        <w:spacing w:line="270" w:lineRule="exact"/>
        <w:ind w:left="284" w:right="-284" w:hanging="354"/>
        <w:rPr>
          <w:rFonts w:ascii="Arial" w:hAnsi="Arial" w:cs="Arial"/>
          <w:sz w:val="20"/>
          <w:szCs w:val="20"/>
        </w:rPr>
      </w:pPr>
      <w:r w:rsidRPr="00C45DBF">
        <w:rPr>
          <w:rFonts w:ascii="Arial" w:hAnsi="Arial" w:cs="Arial"/>
          <w:sz w:val="20"/>
          <w:szCs w:val="20"/>
        </w:rPr>
        <w:t>Renforcer par la formation et la certification les compétences de secteurs économiques comme le tourisme</w:t>
      </w:r>
      <w:r w:rsidR="0065208C" w:rsidRPr="00C45DBF">
        <w:rPr>
          <w:rFonts w:ascii="Arial" w:hAnsi="Arial" w:cs="Arial"/>
          <w:sz w:val="20"/>
          <w:szCs w:val="20"/>
        </w:rPr>
        <w:t>, la restauration</w:t>
      </w:r>
      <w:r w:rsidRPr="00C45DBF">
        <w:rPr>
          <w:rFonts w:ascii="Arial" w:hAnsi="Arial" w:cs="Arial"/>
          <w:sz w:val="20"/>
          <w:szCs w:val="20"/>
        </w:rPr>
        <w:t xml:space="preserve"> et l’accueil.</w:t>
      </w:r>
    </w:p>
    <w:p w:rsidR="00C7765B" w:rsidRPr="00C45DBF" w:rsidRDefault="00C7765B" w:rsidP="00E8231E">
      <w:pPr>
        <w:spacing w:line="270" w:lineRule="exact"/>
        <w:ind w:left="-98" w:right="-284"/>
        <w:rPr>
          <w:rFonts w:ascii="Arial" w:hAnsi="Arial" w:cs="Arial"/>
          <w:sz w:val="20"/>
          <w:szCs w:val="20"/>
        </w:rPr>
      </w:pPr>
    </w:p>
    <w:p w:rsidR="00C7765B" w:rsidRPr="00C45DBF" w:rsidRDefault="00C7765B" w:rsidP="00E8231E">
      <w:pPr>
        <w:spacing w:line="270" w:lineRule="exact"/>
        <w:ind w:left="-98" w:right="-284"/>
        <w:rPr>
          <w:rFonts w:ascii="Arial" w:hAnsi="Arial" w:cs="Arial"/>
          <w:sz w:val="20"/>
          <w:szCs w:val="20"/>
        </w:rPr>
      </w:pPr>
    </w:p>
    <w:p w:rsidR="0065208C" w:rsidRPr="00C45DBF" w:rsidRDefault="00C7765B" w:rsidP="00E8231E">
      <w:pPr>
        <w:spacing w:line="270" w:lineRule="exact"/>
        <w:ind w:left="-98" w:right="-284"/>
        <w:rPr>
          <w:rFonts w:ascii="Arial" w:hAnsi="Arial" w:cs="Arial"/>
          <w:sz w:val="20"/>
          <w:szCs w:val="20"/>
        </w:rPr>
      </w:pPr>
      <w:r w:rsidRPr="00C45DBF">
        <w:rPr>
          <w:rFonts w:ascii="Arial" w:hAnsi="Arial" w:cs="Arial"/>
          <w:sz w:val="20"/>
          <w:szCs w:val="20"/>
        </w:rPr>
        <w:t xml:space="preserve">Cette procédure est destinée à un public cible qui n’a pas les </w:t>
      </w:r>
      <w:r w:rsidR="00673186" w:rsidRPr="00C45DBF">
        <w:rPr>
          <w:rFonts w:ascii="Arial" w:hAnsi="Arial" w:cs="Arial"/>
          <w:sz w:val="20"/>
          <w:szCs w:val="20"/>
        </w:rPr>
        <w:t>prérequis</w:t>
      </w:r>
      <w:r w:rsidRPr="00C45DBF">
        <w:rPr>
          <w:rFonts w:ascii="Arial" w:hAnsi="Arial" w:cs="Arial"/>
          <w:sz w:val="20"/>
          <w:szCs w:val="20"/>
        </w:rPr>
        <w:t xml:space="preserve"> pour </w:t>
      </w:r>
      <w:r w:rsidR="0065208C" w:rsidRPr="00C45DBF">
        <w:rPr>
          <w:rFonts w:ascii="Arial" w:hAnsi="Arial" w:cs="Arial"/>
          <w:sz w:val="20"/>
          <w:szCs w:val="20"/>
        </w:rPr>
        <w:t>se</w:t>
      </w:r>
      <w:r w:rsidRPr="00C45DBF">
        <w:rPr>
          <w:rFonts w:ascii="Arial" w:hAnsi="Arial" w:cs="Arial"/>
          <w:sz w:val="20"/>
          <w:szCs w:val="20"/>
        </w:rPr>
        <w:t xml:space="preserve"> diriger vers une mesure amenant au CFC</w:t>
      </w:r>
      <w:r w:rsidR="00A44341" w:rsidRPr="00C45DBF">
        <w:rPr>
          <w:rFonts w:ascii="Arial" w:hAnsi="Arial" w:cs="Arial"/>
          <w:color w:val="FF0000"/>
          <w:sz w:val="20"/>
          <w:szCs w:val="20"/>
        </w:rPr>
        <w:t xml:space="preserve"> </w:t>
      </w:r>
      <w:r w:rsidR="00C45DBF" w:rsidRPr="00C45DBF">
        <w:rPr>
          <w:rFonts w:ascii="Arial" w:hAnsi="Arial" w:cs="Arial"/>
          <w:sz w:val="20"/>
          <w:szCs w:val="20"/>
        </w:rPr>
        <w:t>ou</w:t>
      </w:r>
      <w:r w:rsidR="00A44341" w:rsidRPr="00C45DBF">
        <w:rPr>
          <w:rFonts w:ascii="Arial" w:hAnsi="Arial" w:cs="Arial"/>
          <w:sz w:val="20"/>
          <w:szCs w:val="20"/>
        </w:rPr>
        <w:t xml:space="preserve"> à l’AFP</w:t>
      </w:r>
      <w:r w:rsidRPr="00C45DBF">
        <w:rPr>
          <w:rFonts w:ascii="Arial" w:hAnsi="Arial" w:cs="Arial"/>
          <w:sz w:val="20"/>
          <w:szCs w:val="20"/>
        </w:rPr>
        <w:t>.</w:t>
      </w:r>
    </w:p>
    <w:p w:rsidR="0065208C" w:rsidRPr="00C45DBF" w:rsidRDefault="0065208C" w:rsidP="00E8231E">
      <w:pPr>
        <w:spacing w:line="270" w:lineRule="exact"/>
        <w:ind w:left="-98" w:right="-284"/>
        <w:rPr>
          <w:rFonts w:ascii="Arial" w:hAnsi="Arial" w:cs="Arial"/>
          <w:sz w:val="20"/>
          <w:szCs w:val="20"/>
        </w:rPr>
      </w:pPr>
    </w:p>
    <w:p w:rsidR="00C7765B" w:rsidRPr="00C45DBF" w:rsidRDefault="00C7765B" w:rsidP="00E8231E">
      <w:pPr>
        <w:spacing w:line="270" w:lineRule="exact"/>
        <w:ind w:left="-98" w:right="-284"/>
        <w:rPr>
          <w:rFonts w:ascii="Arial" w:hAnsi="Arial" w:cs="Arial"/>
          <w:sz w:val="20"/>
          <w:szCs w:val="20"/>
        </w:rPr>
      </w:pPr>
    </w:p>
    <w:p w:rsidR="00C7765B" w:rsidRPr="00C45DBF" w:rsidRDefault="00F30530" w:rsidP="00E8231E">
      <w:pPr>
        <w:spacing w:line="270" w:lineRule="exact"/>
        <w:ind w:left="-98"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présent document</w:t>
      </w:r>
      <w:r w:rsidR="00C7765B" w:rsidRPr="00C45DBF">
        <w:rPr>
          <w:rFonts w:ascii="Arial" w:hAnsi="Arial" w:cs="Arial"/>
          <w:sz w:val="20"/>
          <w:szCs w:val="20"/>
        </w:rPr>
        <w:t xml:space="preserve"> informe sur l’ensemble de la procédure </w:t>
      </w:r>
      <w:r w:rsidR="00C45DBF">
        <w:rPr>
          <w:rFonts w:ascii="Arial" w:hAnsi="Arial" w:cs="Arial"/>
          <w:sz w:val="20"/>
          <w:szCs w:val="20"/>
        </w:rPr>
        <w:t xml:space="preserve">mise en place avec </w:t>
      </w:r>
      <w:r w:rsidR="00C7765B" w:rsidRPr="00C45DBF">
        <w:rPr>
          <w:rFonts w:ascii="Arial" w:hAnsi="Arial" w:cs="Arial"/>
          <w:sz w:val="20"/>
          <w:szCs w:val="20"/>
        </w:rPr>
        <w:t>Hôtel</w:t>
      </w:r>
      <w:r w:rsidR="00C45DBF">
        <w:rPr>
          <w:rFonts w:ascii="Arial" w:hAnsi="Arial" w:cs="Arial"/>
          <w:sz w:val="20"/>
          <w:szCs w:val="20"/>
        </w:rPr>
        <w:t xml:space="preserve"> </w:t>
      </w:r>
      <w:r w:rsidR="00C7765B" w:rsidRPr="00C45DBF">
        <w:rPr>
          <w:rFonts w:ascii="Arial" w:hAnsi="Arial" w:cs="Arial"/>
          <w:sz w:val="20"/>
          <w:szCs w:val="20"/>
        </w:rPr>
        <w:t>&amp;</w:t>
      </w:r>
      <w:r w:rsidR="00C45DBF">
        <w:rPr>
          <w:rFonts w:ascii="Arial" w:hAnsi="Arial" w:cs="Arial"/>
          <w:sz w:val="20"/>
          <w:szCs w:val="20"/>
        </w:rPr>
        <w:t xml:space="preserve"> </w:t>
      </w:r>
      <w:r w:rsidR="00C7765B" w:rsidRPr="00C45DBF">
        <w:rPr>
          <w:rFonts w:ascii="Arial" w:hAnsi="Arial" w:cs="Arial"/>
          <w:sz w:val="20"/>
          <w:szCs w:val="20"/>
        </w:rPr>
        <w:t xml:space="preserve">Gastro </w:t>
      </w:r>
      <w:r w:rsidR="00C45DBF" w:rsidRPr="00966839">
        <w:rPr>
          <w:rFonts w:ascii="Arial" w:hAnsi="Arial" w:cs="Arial"/>
          <w:i/>
          <w:sz w:val="20"/>
          <w:szCs w:val="20"/>
        </w:rPr>
        <w:t>f</w:t>
      </w:r>
      <w:r w:rsidR="00C7765B" w:rsidRPr="00966839">
        <w:rPr>
          <w:rFonts w:ascii="Arial" w:hAnsi="Arial" w:cs="Arial"/>
          <w:i/>
          <w:sz w:val="20"/>
          <w:szCs w:val="20"/>
        </w:rPr>
        <w:t>ormation</w:t>
      </w:r>
      <w:r w:rsidR="00C7765B" w:rsidRPr="00C45DBF">
        <w:rPr>
          <w:rFonts w:ascii="Arial" w:hAnsi="Arial" w:cs="Arial"/>
          <w:sz w:val="20"/>
          <w:szCs w:val="20"/>
        </w:rPr>
        <w:t xml:space="preserve"> Valais qui s’est très activement impliqué à chaque étape de cette collaboration</w:t>
      </w:r>
      <w:r w:rsidR="0065208C" w:rsidRPr="00C45DBF">
        <w:rPr>
          <w:rFonts w:ascii="Arial" w:hAnsi="Arial" w:cs="Arial"/>
          <w:sz w:val="20"/>
          <w:szCs w:val="20"/>
        </w:rPr>
        <w:t xml:space="preserve"> et que nous </w:t>
      </w:r>
      <w:r w:rsidR="003D38A6" w:rsidRPr="00C45DBF">
        <w:rPr>
          <w:rFonts w:ascii="Arial" w:hAnsi="Arial" w:cs="Arial"/>
          <w:sz w:val="20"/>
          <w:szCs w:val="20"/>
        </w:rPr>
        <w:t>tenons à vivement remercier ici.</w:t>
      </w:r>
    </w:p>
    <w:p w:rsidR="00C7765B" w:rsidRPr="00C45DBF" w:rsidRDefault="00C7765B" w:rsidP="00E8231E">
      <w:pPr>
        <w:spacing w:line="270" w:lineRule="exact"/>
        <w:ind w:left="-98" w:right="-284"/>
        <w:rPr>
          <w:rFonts w:ascii="Arial" w:hAnsi="Arial" w:cs="Arial"/>
          <w:sz w:val="20"/>
          <w:szCs w:val="20"/>
        </w:rPr>
      </w:pPr>
    </w:p>
    <w:p w:rsidR="00C7765B" w:rsidRPr="00C45DBF" w:rsidRDefault="00C7765B" w:rsidP="00E8231E">
      <w:pPr>
        <w:spacing w:line="270" w:lineRule="exact"/>
        <w:ind w:left="-98" w:right="-284"/>
        <w:rPr>
          <w:rFonts w:ascii="Arial" w:hAnsi="Arial" w:cs="Arial"/>
          <w:sz w:val="20"/>
          <w:szCs w:val="20"/>
        </w:rPr>
      </w:pPr>
    </w:p>
    <w:p w:rsidR="00C7765B" w:rsidRPr="00C45DBF" w:rsidRDefault="00C7765B" w:rsidP="00E8231E">
      <w:pPr>
        <w:spacing w:line="270" w:lineRule="exact"/>
        <w:ind w:left="-98" w:right="-284"/>
        <w:rPr>
          <w:rFonts w:ascii="Arial" w:hAnsi="Arial" w:cs="Arial"/>
          <w:sz w:val="20"/>
          <w:szCs w:val="20"/>
        </w:rPr>
      </w:pPr>
      <w:r w:rsidRPr="00C45DBF">
        <w:rPr>
          <w:rFonts w:ascii="Arial" w:hAnsi="Arial" w:cs="Arial"/>
          <w:sz w:val="20"/>
          <w:szCs w:val="20"/>
        </w:rPr>
        <w:t xml:space="preserve">Cette procédure </w:t>
      </w:r>
      <w:r w:rsidR="00F30530">
        <w:rPr>
          <w:rFonts w:ascii="Arial" w:hAnsi="Arial" w:cs="Arial"/>
          <w:sz w:val="20"/>
          <w:szCs w:val="20"/>
        </w:rPr>
        <w:t>connaît</w:t>
      </w:r>
      <w:r w:rsidR="0065208C" w:rsidRPr="00C45DBF">
        <w:rPr>
          <w:rFonts w:ascii="Arial" w:hAnsi="Arial" w:cs="Arial"/>
          <w:sz w:val="20"/>
          <w:szCs w:val="20"/>
        </w:rPr>
        <w:t xml:space="preserve"> </w:t>
      </w:r>
      <w:r w:rsidR="00F30530" w:rsidRPr="00C45DBF">
        <w:rPr>
          <w:rFonts w:ascii="Arial" w:hAnsi="Arial" w:cs="Arial"/>
          <w:sz w:val="20"/>
          <w:szCs w:val="20"/>
        </w:rPr>
        <w:t xml:space="preserve">ses premières applications </w:t>
      </w:r>
      <w:r w:rsidR="0065208C" w:rsidRPr="00C45DBF">
        <w:rPr>
          <w:rFonts w:ascii="Arial" w:hAnsi="Arial" w:cs="Arial"/>
          <w:sz w:val="20"/>
          <w:szCs w:val="20"/>
        </w:rPr>
        <w:t xml:space="preserve">dès </w:t>
      </w:r>
      <w:r w:rsidR="00E8231E">
        <w:rPr>
          <w:rFonts w:ascii="Arial" w:hAnsi="Arial" w:cs="Arial"/>
          <w:sz w:val="20"/>
          <w:szCs w:val="20"/>
        </w:rPr>
        <w:t xml:space="preserve">mars </w:t>
      </w:r>
      <w:r w:rsidR="00F0028F" w:rsidRPr="00C45DBF">
        <w:rPr>
          <w:rFonts w:ascii="Arial" w:hAnsi="Arial" w:cs="Arial"/>
          <w:sz w:val="20"/>
          <w:szCs w:val="20"/>
        </w:rPr>
        <w:t>201</w:t>
      </w:r>
      <w:r w:rsidR="00E8231E">
        <w:rPr>
          <w:rFonts w:ascii="Arial" w:hAnsi="Arial" w:cs="Arial"/>
          <w:sz w:val="20"/>
          <w:szCs w:val="20"/>
        </w:rPr>
        <w:t>9</w:t>
      </w:r>
      <w:r w:rsidR="0065208C" w:rsidRPr="00C45DBF">
        <w:rPr>
          <w:rFonts w:ascii="Arial" w:hAnsi="Arial" w:cs="Arial"/>
          <w:sz w:val="20"/>
          <w:szCs w:val="20"/>
        </w:rPr>
        <w:t> ;</w:t>
      </w:r>
      <w:r w:rsidRPr="00C45DBF">
        <w:rPr>
          <w:rFonts w:ascii="Arial" w:hAnsi="Arial" w:cs="Arial"/>
          <w:sz w:val="20"/>
          <w:szCs w:val="20"/>
        </w:rPr>
        <w:t xml:space="preserve"> elle </w:t>
      </w:r>
      <w:r w:rsidR="00F30530">
        <w:rPr>
          <w:rFonts w:ascii="Arial" w:hAnsi="Arial" w:cs="Arial"/>
          <w:sz w:val="20"/>
          <w:szCs w:val="20"/>
        </w:rPr>
        <w:t>est</w:t>
      </w:r>
      <w:r w:rsidRPr="00C45DBF">
        <w:rPr>
          <w:rFonts w:ascii="Arial" w:hAnsi="Arial" w:cs="Arial"/>
          <w:sz w:val="20"/>
          <w:szCs w:val="20"/>
        </w:rPr>
        <w:t xml:space="preserve"> bien sûr évaluée </w:t>
      </w:r>
      <w:r w:rsidR="0065208C" w:rsidRPr="00C45DBF">
        <w:rPr>
          <w:rFonts w:ascii="Arial" w:hAnsi="Arial" w:cs="Arial"/>
          <w:sz w:val="20"/>
          <w:szCs w:val="20"/>
        </w:rPr>
        <w:t>et adaptée de manière concertée entre les partenaires.</w:t>
      </w:r>
    </w:p>
    <w:p w:rsidR="0065208C" w:rsidRDefault="0065208C" w:rsidP="00C45DBF">
      <w:pPr>
        <w:ind w:left="-98" w:right="-284"/>
        <w:rPr>
          <w:rFonts w:ascii="Arial" w:hAnsi="Arial" w:cs="Arial"/>
          <w:sz w:val="20"/>
          <w:szCs w:val="20"/>
        </w:rPr>
      </w:pPr>
    </w:p>
    <w:p w:rsidR="00165A96" w:rsidRDefault="00165A96" w:rsidP="00165A96">
      <w:pPr>
        <w:ind w:right="-284"/>
        <w:rPr>
          <w:rFonts w:ascii="Arial" w:hAnsi="Arial" w:cs="Arial"/>
          <w:b/>
          <w:sz w:val="28"/>
          <w:szCs w:val="28"/>
        </w:rPr>
      </w:pPr>
    </w:p>
    <w:p w:rsidR="00F30530" w:rsidRDefault="00F3053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165A96" w:rsidRDefault="00165A96" w:rsidP="00165A96">
      <w:pPr>
        <w:ind w:right="-284"/>
        <w:rPr>
          <w:rFonts w:ascii="Arial" w:hAnsi="Arial" w:cs="Arial"/>
          <w:sz w:val="28"/>
          <w:szCs w:val="28"/>
        </w:rPr>
      </w:pPr>
      <w:r w:rsidRPr="00C92530">
        <w:rPr>
          <w:rFonts w:ascii="Arial" w:hAnsi="Arial" w:cs="Arial"/>
          <w:b/>
          <w:sz w:val="28"/>
          <w:szCs w:val="28"/>
        </w:rPr>
        <w:lastRenderedPageBreak/>
        <w:t>Descriptif du processus pour les CIO</w:t>
      </w:r>
    </w:p>
    <w:p w:rsidR="00165A96" w:rsidRDefault="00165A96" w:rsidP="00165A96">
      <w:pPr>
        <w:ind w:right="-284"/>
        <w:jc w:val="center"/>
        <w:rPr>
          <w:rFonts w:ascii="Arial" w:hAnsi="Arial" w:cs="Arial"/>
          <w:sz w:val="28"/>
          <w:szCs w:val="28"/>
        </w:rPr>
      </w:pPr>
    </w:p>
    <w:p w:rsidR="00165A96" w:rsidRDefault="00165A96" w:rsidP="00165A96">
      <w:pPr>
        <w:ind w:right="-284"/>
        <w:jc w:val="both"/>
        <w:rPr>
          <w:rFonts w:ascii="Arial" w:hAnsi="Arial" w:cs="Arial"/>
          <w:sz w:val="20"/>
          <w:szCs w:val="20"/>
        </w:rPr>
      </w:pPr>
    </w:p>
    <w:p w:rsidR="00165A96" w:rsidRPr="00F30530" w:rsidRDefault="00165A96" w:rsidP="00165A96">
      <w:pPr>
        <w:ind w:right="-284"/>
        <w:jc w:val="both"/>
        <w:rPr>
          <w:rFonts w:ascii="Arial" w:hAnsi="Arial" w:cs="Arial"/>
          <w:b/>
          <w:sz w:val="20"/>
          <w:szCs w:val="20"/>
        </w:rPr>
      </w:pPr>
      <w:r w:rsidRPr="00F30530">
        <w:rPr>
          <w:rFonts w:ascii="Arial" w:hAnsi="Arial" w:cs="Arial"/>
          <w:b/>
          <w:sz w:val="20"/>
          <w:szCs w:val="20"/>
        </w:rPr>
        <w:t xml:space="preserve">Ce descriptif n’intègre pas les aspects administratifs liés au demandeur, il est complété par le </w:t>
      </w:r>
      <w:r w:rsidR="00F30530" w:rsidRPr="00F30530">
        <w:rPr>
          <w:rFonts w:ascii="Arial" w:hAnsi="Arial" w:cs="Arial"/>
          <w:b/>
          <w:sz w:val="20"/>
          <w:szCs w:val="20"/>
        </w:rPr>
        <w:t>chapitre</w:t>
      </w:r>
      <w:r w:rsidRPr="00F30530">
        <w:rPr>
          <w:rFonts w:ascii="Arial" w:hAnsi="Arial" w:cs="Arial"/>
          <w:b/>
          <w:sz w:val="20"/>
          <w:szCs w:val="20"/>
        </w:rPr>
        <w:t xml:space="preserve"> « </w:t>
      </w:r>
      <w:r w:rsidR="00F30530">
        <w:rPr>
          <w:rFonts w:ascii="Arial" w:hAnsi="Arial" w:cs="Arial"/>
          <w:b/>
          <w:sz w:val="20"/>
          <w:szCs w:val="20"/>
        </w:rPr>
        <w:t>Description du processus E</w:t>
      </w:r>
      <w:r w:rsidR="00F30530" w:rsidRPr="00F30530">
        <w:rPr>
          <w:rFonts w:ascii="Arial" w:hAnsi="Arial" w:cs="Arial"/>
          <w:b/>
          <w:sz w:val="20"/>
          <w:szCs w:val="20"/>
        </w:rPr>
        <w:t>xpertise</w:t>
      </w:r>
      <w:r w:rsidR="00FE4E87">
        <w:rPr>
          <w:rFonts w:ascii="Arial" w:hAnsi="Arial" w:cs="Arial"/>
          <w:b/>
          <w:sz w:val="20"/>
          <w:szCs w:val="20"/>
        </w:rPr>
        <w:t> »</w:t>
      </w:r>
      <w:r w:rsidR="00F30530" w:rsidRPr="00F30530">
        <w:rPr>
          <w:rFonts w:ascii="Arial" w:hAnsi="Arial" w:cs="Arial"/>
          <w:b/>
          <w:sz w:val="20"/>
          <w:szCs w:val="20"/>
        </w:rPr>
        <w:t>.</w:t>
      </w:r>
    </w:p>
    <w:p w:rsidR="00165A96" w:rsidRPr="00DB4679" w:rsidRDefault="00165A96" w:rsidP="00165A96">
      <w:pPr>
        <w:ind w:right="-284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165A96">
      <w:pPr>
        <w:ind w:right="-284"/>
        <w:jc w:val="both"/>
        <w:rPr>
          <w:rFonts w:ascii="Arial" w:hAnsi="Arial" w:cs="Arial"/>
          <w:sz w:val="20"/>
          <w:szCs w:val="20"/>
        </w:rPr>
      </w:pPr>
    </w:p>
    <w:p w:rsidR="00165A96" w:rsidRPr="00DB4679" w:rsidRDefault="00165A96" w:rsidP="00165A96">
      <w:pPr>
        <w:ind w:right="-284"/>
        <w:jc w:val="both"/>
        <w:rPr>
          <w:rFonts w:ascii="Arial" w:hAnsi="Arial" w:cs="Arial"/>
          <w:sz w:val="20"/>
          <w:szCs w:val="20"/>
        </w:rPr>
      </w:pPr>
    </w:p>
    <w:p w:rsidR="00165A96" w:rsidRPr="00DB4679" w:rsidRDefault="00165A96" w:rsidP="00E8231E">
      <w:pPr>
        <w:tabs>
          <w:tab w:val="left" w:pos="284"/>
        </w:tabs>
        <w:spacing w:line="270" w:lineRule="exact"/>
        <w:ind w:left="284" w:right="-284" w:hanging="284"/>
        <w:jc w:val="both"/>
        <w:rPr>
          <w:rFonts w:ascii="Arial" w:hAnsi="Arial" w:cs="Arial"/>
          <w:sz w:val="20"/>
          <w:szCs w:val="20"/>
        </w:rPr>
      </w:pPr>
      <w:r w:rsidRPr="00DB4679">
        <w:rPr>
          <w:rFonts w:ascii="Arial" w:hAnsi="Arial" w:cs="Arial"/>
          <w:sz w:val="20"/>
          <w:szCs w:val="20"/>
        </w:rPr>
        <w:t>1.</w:t>
      </w:r>
      <w:r w:rsidRPr="00DB4679">
        <w:rPr>
          <w:rFonts w:ascii="Arial" w:hAnsi="Arial" w:cs="Arial"/>
          <w:sz w:val="20"/>
          <w:szCs w:val="20"/>
        </w:rPr>
        <w:tab/>
        <w:t>Analyse de la demande et pose de l’indication de la procédure </w:t>
      </w:r>
      <w:r>
        <w:rPr>
          <w:rFonts w:ascii="Arial" w:hAnsi="Arial" w:cs="Arial"/>
          <w:sz w:val="20"/>
          <w:szCs w:val="20"/>
        </w:rPr>
        <w:t>par le COSP</w:t>
      </w:r>
      <w:r w:rsidRPr="00DB4679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il </w:t>
      </w:r>
      <w:r w:rsidRPr="00DB4679">
        <w:rPr>
          <w:rFonts w:ascii="Arial" w:hAnsi="Arial" w:cs="Arial"/>
          <w:sz w:val="20"/>
          <w:szCs w:val="20"/>
        </w:rPr>
        <w:t xml:space="preserve">contacte </w:t>
      </w:r>
      <w:r>
        <w:rPr>
          <w:rFonts w:ascii="Arial" w:hAnsi="Arial" w:cs="Arial"/>
          <w:sz w:val="20"/>
          <w:szCs w:val="20"/>
        </w:rPr>
        <w:t xml:space="preserve">Hôtel &amp; Gastro </w:t>
      </w:r>
      <w:r w:rsidRPr="00E8231E">
        <w:rPr>
          <w:rFonts w:ascii="Arial" w:hAnsi="Arial" w:cs="Arial"/>
          <w:i/>
          <w:sz w:val="20"/>
          <w:szCs w:val="20"/>
        </w:rPr>
        <w:t>formation</w:t>
      </w:r>
      <w:r>
        <w:rPr>
          <w:rFonts w:ascii="Arial" w:hAnsi="Arial" w:cs="Arial"/>
          <w:sz w:val="20"/>
          <w:szCs w:val="20"/>
        </w:rPr>
        <w:t xml:space="preserve"> Valais (HGFVs) et, s’il s’agit d’un chômeur, organise le placement en stage pour vérifier la liste des compétences (liste des places de stages, etc.)</w:t>
      </w:r>
    </w:p>
    <w:p w:rsidR="00165A96" w:rsidRDefault="00165A96" w:rsidP="00E8231E">
      <w:pPr>
        <w:tabs>
          <w:tab w:val="left" w:pos="284"/>
        </w:tabs>
        <w:spacing w:line="270" w:lineRule="exact"/>
        <w:ind w:left="284" w:right="-284" w:hanging="284"/>
        <w:jc w:val="both"/>
        <w:rPr>
          <w:rFonts w:ascii="Arial" w:hAnsi="Arial" w:cs="Arial"/>
          <w:sz w:val="20"/>
          <w:szCs w:val="20"/>
        </w:rPr>
      </w:pPr>
    </w:p>
    <w:p w:rsidR="00165A96" w:rsidRPr="00DB4679" w:rsidRDefault="00165A96" w:rsidP="00E8231E">
      <w:pPr>
        <w:tabs>
          <w:tab w:val="left" w:pos="284"/>
        </w:tabs>
        <w:spacing w:line="270" w:lineRule="exact"/>
        <w:ind w:left="284" w:right="-284" w:hanging="284"/>
        <w:jc w:val="both"/>
        <w:rPr>
          <w:rFonts w:ascii="Arial" w:hAnsi="Arial" w:cs="Arial"/>
          <w:sz w:val="20"/>
          <w:szCs w:val="20"/>
        </w:rPr>
      </w:pPr>
    </w:p>
    <w:p w:rsidR="00165A96" w:rsidRPr="00DB4679" w:rsidRDefault="00165A96" w:rsidP="00E8231E">
      <w:pPr>
        <w:tabs>
          <w:tab w:val="left" w:pos="284"/>
        </w:tabs>
        <w:spacing w:line="270" w:lineRule="exact"/>
        <w:ind w:left="284" w:right="-284" w:hanging="284"/>
        <w:jc w:val="both"/>
        <w:rPr>
          <w:rFonts w:ascii="Arial" w:hAnsi="Arial" w:cs="Arial"/>
          <w:sz w:val="20"/>
          <w:szCs w:val="20"/>
        </w:rPr>
      </w:pPr>
      <w:r w:rsidRPr="00DB4679">
        <w:rPr>
          <w:rFonts w:ascii="Arial" w:hAnsi="Arial" w:cs="Arial"/>
          <w:sz w:val="20"/>
          <w:szCs w:val="20"/>
        </w:rPr>
        <w:t>2. Bilan de compétences spécifique RI-RIPP sur la base des listes de compétences agréées et établissement de la liste de compétences à évaluer.</w:t>
      </w:r>
    </w:p>
    <w:p w:rsidR="00165A96" w:rsidRDefault="00165A96" w:rsidP="00E8231E">
      <w:pPr>
        <w:tabs>
          <w:tab w:val="left" w:pos="284"/>
        </w:tabs>
        <w:spacing w:line="270" w:lineRule="exact"/>
        <w:ind w:left="284" w:right="-284" w:hanging="284"/>
        <w:jc w:val="both"/>
        <w:rPr>
          <w:rFonts w:ascii="Arial" w:hAnsi="Arial" w:cs="Arial"/>
          <w:sz w:val="20"/>
          <w:szCs w:val="20"/>
        </w:rPr>
      </w:pPr>
    </w:p>
    <w:p w:rsidR="00165A96" w:rsidRPr="00DB4679" w:rsidRDefault="00165A96" w:rsidP="00E8231E">
      <w:pPr>
        <w:tabs>
          <w:tab w:val="left" w:pos="284"/>
        </w:tabs>
        <w:spacing w:line="270" w:lineRule="exact"/>
        <w:ind w:left="284" w:right="-284" w:hanging="284"/>
        <w:jc w:val="both"/>
        <w:rPr>
          <w:rFonts w:ascii="Arial" w:hAnsi="Arial" w:cs="Arial"/>
          <w:sz w:val="20"/>
          <w:szCs w:val="20"/>
        </w:rPr>
      </w:pPr>
    </w:p>
    <w:p w:rsidR="00165A96" w:rsidRPr="00DB4679" w:rsidRDefault="00165A96" w:rsidP="00E8231E">
      <w:pPr>
        <w:spacing w:line="270" w:lineRule="exact"/>
        <w:ind w:left="266" w:right="-284" w:hanging="266"/>
        <w:jc w:val="both"/>
        <w:rPr>
          <w:rFonts w:ascii="Arial" w:hAnsi="Arial" w:cs="Arial"/>
          <w:sz w:val="20"/>
          <w:szCs w:val="20"/>
        </w:rPr>
      </w:pPr>
      <w:r w:rsidRPr="00DB4679">
        <w:rPr>
          <w:rFonts w:ascii="Arial" w:hAnsi="Arial" w:cs="Arial"/>
          <w:sz w:val="20"/>
          <w:szCs w:val="20"/>
        </w:rPr>
        <w:t xml:space="preserve">3. Coordination avec HGFVs : le COSP contacte le président d’HGFVs ou la personne responsable de la coordination pour : transmission de la liste à évaluer et du CV actualisé – confirmation de l’indication – mise en place du stage et des modalités liées soit : lieu – durée – échéances – acteurs de l’entreprise et de l’expertise. Le stage est en principe organisé selon la pratique mise en place avec les ORP, </w:t>
      </w:r>
      <w:r w:rsidR="00E8231E">
        <w:rPr>
          <w:rFonts w:ascii="Arial" w:hAnsi="Arial" w:cs="Arial"/>
          <w:sz w:val="20"/>
          <w:szCs w:val="20"/>
        </w:rPr>
        <w:t xml:space="preserve">à savoir </w:t>
      </w:r>
      <w:r w:rsidRPr="00DB4679">
        <w:rPr>
          <w:rFonts w:ascii="Arial" w:hAnsi="Arial" w:cs="Arial"/>
          <w:sz w:val="20"/>
          <w:szCs w:val="20"/>
        </w:rPr>
        <w:t xml:space="preserve">durée d’un mois, phase d’adaptation au lieu de travail et information et préparation </w:t>
      </w:r>
      <w:r>
        <w:rPr>
          <w:rFonts w:ascii="Arial" w:hAnsi="Arial" w:cs="Arial"/>
          <w:sz w:val="20"/>
          <w:szCs w:val="20"/>
        </w:rPr>
        <w:t xml:space="preserve">aux </w:t>
      </w:r>
      <w:r w:rsidRPr="00DB4679">
        <w:rPr>
          <w:rFonts w:ascii="Arial" w:hAnsi="Arial" w:cs="Arial"/>
          <w:sz w:val="20"/>
          <w:szCs w:val="20"/>
        </w:rPr>
        <w:t>modalités et exigences du dispositif</w:t>
      </w:r>
      <w:r>
        <w:rPr>
          <w:rFonts w:ascii="Arial" w:hAnsi="Arial" w:cs="Arial"/>
          <w:sz w:val="20"/>
          <w:szCs w:val="20"/>
        </w:rPr>
        <w:t xml:space="preserve"> d’évaluation</w:t>
      </w:r>
      <w:r w:rsidRPr="00DB4679">
        <w:rPr>
          <w:rFonts w:ascii="Arial" w:hAnsi="Arial" w:cs="Arial"/>
          <w:sz w:val="20"/>
          <w:szCs w:val="20"/>
        </w:rPr>
        <w:t>.</w:t>
      </w:r>
    </w:p>
    <w:p w:rsidR="00165A96" w:rsidRDefault="00165A96" w:rsidP="00E8231E">
      <w:pPr>
        <w:tabs>
          <w:tab w:val="left" w:pos="284"/>
        </w:tabs>
        <w:spacing w:line="270" w:lineRule="exact"/>
        <w:ind w:left="284" w:right="-284" w:hanging="284"/>
        <w:jc w:val="both"/>
        <w:rPr>
          <w:rFonts w:ascii="Arial" w:hAnsi="Arial" w:cs="Arial"/>
          <w:sz w:val="20"/>
          <w:szCs w:val="20"/>
        </w:rPr>
      </w:pPr>
    </w:p>
    <w:p w:rsidR="00165A96" w:rsidRPr="00DB4679" w:rsidRDefault="00165A96" w:rsidP="00E8231E">
      <w:pPr>
        <w:tabs>
          <w:tab w:val="left" w:pos="284"/>
        </w:tabs>
        <w:spacing w:line="270" w:lineRule="exact"/>
        <w:ind w:left="284" w:right="-284" w:hanging="284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E8231E">
      <w:pPr>
        <w:tabs>
          <w:tab w:val="left" w:pos="284"/>
        </w:tabs>
        <w:spacing w:line="270" w:lineRule="exact"/>
        <w:ind w:left="284" w:right="-284" w:hanging="284"/>
        <w:jc w:val="both"/>
        <w:rPr>
          <w:rFonts w:ascii="Arial" w:hAnsi="Arial" w:cs="Arial"/>
          <w:sz w:val="20"/>
          <w:szCs w:val="20"/>
        </w:rPr>
      </w:pPr>
      <w:r w:rsidRPr="00DB4679">
        <w:rPr>
          <w:rFonts w:ascii="Arial" w:hAnsi="Arial" w:cs="Arial"/>
          <w:sz w:val="20"/>
          <w:szCs w:val="20"/>
        </w:rPr>
        <w:t xml:space="preserve">4. Stage d’évaluation et expertise proprement </w:t>
      </w:r>
      <w:r>
        <w:rPr>
          <w:rFonts w:ascii="Arial" w:hAnsi="Arial" w:cs="Arial"/>
          <w:sz w:val="20"/>
          <w:szCs w:val="20"/>
        </w:rPr>
        <w:t>d</w:t>
      </w:r>
      <w:r w:rsidRPr="00DB4679">
        <w:rPr>
          <w:rFonts w:ascii="Arial" w:hAnsi="Arial" w:cs="Arial"/>
          <w:sz w:val="20"/>
          <w:szCs w:val="20"/>
        </w:rPr>
        <w:t xml:space="preserve">ite : cette phase est décrite dans le </w:t>
      </w:r>
      <w:r w:rsidR="00F517B2">
        <w:rPr>
          <w:rFonts w:ascii="Arial" w:hAnsi="Arial" w:cs="Arial"/>
          <w:sz w:val="20"/>
          <w:szCs w:val="20"/>
        </w:rPr>
        <w:t xml:space="preserve">chapitre suivant </w:t>
      </w:r>
      <w:r w:rsidRPr="00DB4679">
        <w:rPr>
          <w:rFonts w:ascii="Arial" w:hAnsi="Arial" w:cs="Arial"/>
          <w:sz w:val="20"/>
          <w:szCs w:val="20"/>
        </w:rPr>
        <w:t>« </w:t>
      </w:r>
      <w:r w:rsidR="00F517B2" w:rsidRPr="00F517B2">
        <w:rPr>
          <w:rFonts w:ascii="Arial" w:hAnsi="Arial" w:cs="Arial"/>
          <w:sz w:val="20"/>
          <w:szCs w:val="20"/>
        </w:rPr>
        <w:t>Description du processus Expertise</w:t>
      </w:r>
      <w:r w:rsidRPr="00DB4679">
        <w:rPr>
          <w:rFonts w:ascii="Arial" w:hAnsi="Arial" w:cs="Arial"/>
          <w:sz w:val="20"/>
          <w:szCs w:val="20"/>
        </w:rPr>
        <w:t> ». L’</w:t>
      </w:r>
      <w:r>
        <w:rPr>
          <w:rFonts w:ascii="Arial" w:hAnsi="Arial" w:cs="Arial"/>
          <w:sz w:val="20"/>
          <w:szCs w:val="20"/>
        </w:rPr>
        <w:t>évaluation des compétences</w:t>
      </w:r>
      <w:r w:rsidRPr="00DB4679">
        <w:rPr>
          <w:rFonts w:ascii="Arial" w:hAnsi="Arial" w:cs="Arial"/>
          <w:sz w:val="20"/>
          <w:szCs w:val="20"/>
        </w:rPr>
        <w:t xml:space="preserve"> se </w:t>
      </w:r>
      <w:r>
        <w:rPr>
          <w:rFonts w:ascii="Arial" w:hAnsi="Arial" w:cs="Arial"/>
          <w:sz w:val="20"/>
          <w:szCs w:val="20"/>
        </w:rPr>
        <w:t>déroule</w:t>
      </w:r>
      <w:r w:rsidRPr="00DB4679">
        <w:rPr>
          <w:rFonts w:ascii="Arial" w:hAnsi="Arial" w:cs="Arial"/>
          <w:sz w:val="20"/>
          <w:szCs w:val="20"/>
        </w:rPr>
        <w:t xml:space="preserve"> dans une approche formative et sommative.</w:t>
      </w:r>
    </w:p>
    <w:p w:rsidR="00165A96" w:rsidRPr="00DB4679" w:rsidRDefault="00165A96" w:rsidP="00E8231E">
      <w:pPr>
        <w:tabs>
          <w:tab w:val="left" w:pos="284"/>
        </w:tabs>
        <w:spacing w:line="270" w:lineRule="exact"/>
        <w:ind w:left="284" w:right="-284" w:hanging="284"/>
        <w:jc w:val="both"/>
        <w:rPr>
          <w:rFonts w:ascii="Arial" w:hAnsi="Arial" w:cs="Arial"/>
          <w:sz w:val="20"/>
          <w:szCs w:val="20"/>
        </w:rPr>
      </w:pPr>
    </w:p>
    <w:p w:rsidR="00165A96" w:rsidRPr="00DB4679" w:rsidRDefault="00165A96" w:rsidP="00E8231E">
      <w:pPr>
        <w:tabs>
          <w:tab w:val="left" w:pos="284"/>
        </w:tabs>
        <w:spacing w:line="270" w:lineRule="exact"/>
        <w:ind w:left="284" w:right="-284" w:hanging="284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E8231E">
      <w:pPr>
        <w:tabs>
          <w:tab w:val="left" w:pos="284"/>
        </w:tabs>
        <w:spacing w:line="270" w:lineRule="exact"/>
        <w:ind w:left="284" w:right="-284" w:hanging="284"/>
        <w:jc w:val="both"/>
        <w:rPr>
          <w:rFonts w:ascii="Arial" w:hAnsi="Arial" w:cs="Arial"/>
          <w:sz w:val="20"/>
          <w:szCs w:val="20"/>
        </w:rPr>
      </w:pPr>
      <w:r w:rsidRPr="00DB4679">
        <w:rPr>
          <w:rFonts w:ascii="Arial" w:hAnsi="Arial" w:cs="Arial"/>
          <w:sz w:val="20"/>
          <w:szCs w:val="20"/>
        </w:rPr>
        <w:t>5. Etablissement de l’attestation de qualification : elle est établie par l’OSPVR avec les signatures de HGFVs, des experts officiels et de l’OSPVR.</w:t>
      </w:r>
    </w:p>
    <w:p w:rsidR="00165A96" w:rsidRDefault="00165A96" w:rsidP="00E8231E">
      <w:pPr>
        <w:tabs>
          <w:tab w:val="left" w:pos="284"/>
        </w:tabs>
        <w:spacing w:line="270" w:lineRule="exact"/>
        <w:ind w:left="284" w:right="-284" w:hanging="284"/>
        <w:jc w:val="both"/>
        <w:rPr>
          <w:rFonts w:ascii="Arial" w:hAnsi="Arial" w:cs="Arial"/>
          <w:sz w:val="20"/>
          <w:szCs w:val="20"/>
        </w:rPr>
      </w:pPr>
    </w:p>
    <w:p w:rsidR="00F30530" w:rsidRDefault="00F305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65A96" w:rsidRPr="00B06A3F" w:rsidRDefault="00165A96" w:rsidP="00165A96">
      <w:pPr>
        <w:pStyle w:val="Standard"/>
        <w:ind w:right="282"/>
        <w:rPr>
          <w:rFonts w:ascii="Arial" w:hAnsi="Arial" w:cs="Arial"/>
          <w:b/>
          <w:sz w:val="28"/>
          <w:szCs w:val="28"/>
        </w:rPr>
      </w:pPr>
      <w:r w:rsidRPr="00B06A3F">
        <w:rPr>
          <w:rFonts w:ascii="Arial" w:hAnsi="Arial" w:cs="Arial"/>
          <w:b/>
          <w:sz w:val="28"/>
          <w:szCs w:val="28"/>
        </w:rPr>
        <w:lastRenderedPageBreak/>
        <w:t>Description du processus </w:t>
      </w:r>
      <w:r>
        <w:rPr>
          <w:rFonts w:ascii="Arial" w:hAnsi="Arial" w:cs="Arial"/>
          <w:b/>
          <w:sz w:val="28"/>
          <w:szCs w:val="28"/>
        </w:rPr>
        <w:t>Expertise</w:t>
      </w:r>
    </w:p>
    <w:p w:rsidR="00165A96" w:rsidRDefault="00165A96" w:rsidP="00165A96">
      <w:pPr>
        <w:pStyle w:val="Standard"/>
        <w:ind w:right="282"/>
        <w:rPr>
          <w:rFonts w:ascii="Arial" w:hAnsi="Arial" w:cs="Arial"/>
          <w:sz w:val="20"/>
          <w:szCs w:val="20"/>
        </w:rPr>
      </w:pPr>
    </w:p>
    <w:p w:rsidR="00165A96" w:rsidRDefault="00165A96" w:rsidP="00165A96">
      <w:pPr>
        <w:pStyle w:val="Standard"/>
        <w:ind w:right="282"/>
        <w:rPr>
          <w:rFonts w:ascii="Arial" w:hAnsi="Arial" w:cs="Arial"/>
          <w:sz w:val="20"/>
          <w:szCs w:val="20"/>
        </w:rPr>
      </w:pPr>
    </w:p>
    <w:p w:rsidR="00165A96" w:rsidRDefault="00165A96" w:rsidP="00165A96">
      <w:pPr>
        <w:pStyle w:val="Standard"/>
        <w:ind w:right="282"/>
        <w:rPr>
          <w:rFonts w:ascii="Arial" w:hAnsi="Arial" w:cs="Arial"/>
          <w:sz w:val="20"/>
          <w:szCs w:val="20"/>
        </w:rPr>
      </w:pPr>
    </w:p>
    <w:p w:rsidR="00165A96" w:rsidRDefault="00165A96" w:rsidP="00966839">
      <w:pPr>
        <w:pStyle w:val="Paragraphedeliste"/>
        <w:widowControl w:val="0"/>
        <w:numPr>
          <w:ilvl w:val="0"/>
          <w:numId w:val="2"/>
        </w:numPr>
        <w:suppressAutoHyphens/>
        <w:autoSpaceDN w:val="0"/>
        <w:spacing w:line="270" w:lineRule="exact"/>
        <w:ind w:left="567" w:right="170" w:hanging="210"/>
        <w:contextualSpacing w:val="0"/>
        <w:jc w:val="both"/>
        <w:textAlignment w:val="baseline"/>
      </w:pPr>
      <w:r>
        <w:rPr>
          <w:rFonts w:ascii="Arial" w:hAnsi="Arial" w:cs="Arial"/>
          <w:sz w:val="20"/>
          <w:szCs w:val="20"/>
        </w:rPr>
        <w:t xml:space="preserve">Le COSP prend contact avec Hôtel &amp; Gastro </w:t>
      </w:r>
      <w:r w:rsidRPr="00966839">
        <w:rPr>
          <w:rFonts w:ascii="Arial" w:hAnsi="Arial" w:cs="Arial"/>
          <w:i/>
          <w:iCs/>
          <w:sz w:val="20"/>
          <w:szCs w:val="20"/>
        </w:rPr>
        <w:t>formation</w:t>
      </w:r>
      <w:r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Valais (HGFVs) qui désigne l’entreprise qui va accueillir le candidat pour le stage et l’évaluation ; le conseiller transmet la liste des compétences à vérifier</w:t>
      </w:r>
      <w:r w:rsidR="009668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Le stage est en principe organisé selon la pratique mise en place avec les ORP, </w:t>
      </w:r>
      <w:r w:rsidR="00966839">
        <w:rPr>
          <w:rFonts w:ascii="Arial" w:hAnsi="Arial" w:cs="Arial"/>
          <w:sz w:val="20"/>
          <w:szCs w:val="20"/>
        </w:rPr>
        <w:t>à savoir</w:t>
      </w:r>
      <w:r>
        <w:rPr>
          <w:rFonts w:ascii="Arial" w:hAnsi="Arial" w:cs="Arial"/>
          <w:sz w:val="20"/>
          <w:szCs w:val="20"/>
        </w:rPr>
        <w:t xml:space="preserve"> d’une durée d’un mois, phase d’adaptation au lieu de travail et d’information et préparation aux modalités et exigences du dispositif d’évaluation.</w:t>
      </w:r>
    </w:p>
    <w:p w:rsidR="00165A96" w:rsidRDefault="00165A96" w:rsidP="00966839">
      <w:pPr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966839">
      <w:pPr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966839">
      <w:pPr>
        <w:pStyle w:val="Standard"/>
        <w:numPr>
          <w:ilvl w:val="0"/>
          <w:numId w:val="2"/>
        </w:numPr>
        <w:spacing w:line="270" w:lineRule="exact"/>
        <w:ind w:left="567" w:right="170" w:hanging="210"/>
        <w:jc w:val="both"/>
      </w:pPr>
      <w:r>
        <w:rPr>
          <w:rFonts w:ascii="Arial" w:hAnsi="Arial" w:cs="Arial"/>
          <w:sz w:val="20"/>
          <w:szCs w:val="20"/>
        </w:rPr>
        <w:t xml:space="preserve">Le chef-expert et/ou référent d’Hôtel &amp; Gastro </w:t>
      </w:r>
      <w:r w:rsidRPr="00966839">
        <w:rPr>
          <w:rFonts w:ascii="Arial" w:hAnsi="Arial" w:cs="Arial"/>
          <w:i/>
          <w:iCs/>
          <w:sz w:val="20"/>
          <w:szCs w:val="20"/>
        </w:rPr>
        <w:t>formation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Valais organise et coordonne dans des délais rapides et adéquats les échéances de la mise en situation.</w:t>
      </w:r>
    </w:p>
    <w:p w:rsidR="00165A96" w:rsidRDefault="00165A96" w:rsidP="00966839">
      <w:pPr>
        <w:pStyle w:val="Standard"/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966839">
      <w:pPr>
        <w:pStyle w:val="Standard"/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966839">
      <w:pPr>
        <w:pStyle w:val="Standard"/>
        <w:numPr>
          <w:ilvl w:val="0"/>
          <w:numId w:val="2"/>
        </w:numPr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chef-expert avec l'aide d'HGFVs définit la structure de l’expertise en fonction du nombre et des types de compétences demandées ; ils fixent également les modalités, déroulement et durée de la mise en situation et en informe le COSP et le candidat.</w:t>
      </w:r>
    </w:p>
    <w:p w:rsidR="00165A96" w:rsidRDefault="00165A96" w:rsidP="00966839">
      <w:pPr>
        <w:pStyle w:val="Standard"/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966839">
      <w:pPr>
        <w:pStyle w:val="Standard"/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966839">
      <w:pPr>
        <w:pStyle w:val="Standard"/>
        <w:numPr>
          <w:ilvl w:val="0"/>
          <w:numId w:val="2"/>
        </w:numPr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mise en situation se fait en présence de 2 experts et du référent ou formateur de l’entreprise.</w:t>
      </w:r>
    </w:p>
    <w:p w:rsidR="00165A96" w:rsidRDefault="00165A96" w:rsidP="00966839">
      <w:pPr>
        <w:pStyle w:val="Standard"/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966839">
      <w:pPr>
        <w:pStyle w:val="Standard"/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966839">
      <w:pPr>
        <w:pStyle w:val="Standard"/>
        <w:numPr>
          <w:ilvl w:val="0"/>
          <w:numId w:val="2"/>
        </w:numPr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mise en situation peut comporter une partie pratique ainsi que des questions orales. Les tâches se feront pour 4 personnes, sur le lieu de travail et si possible en présence du reste de la brigade de service qui peut être sollicitée par les experts en cas de besoin ou d’imprévu.</w:t>
      </w:r>
    </w:p>
    <w:p w:rsidR="00165A96" w:rsidRDefault="00165A96" w:rsidP="00966839">
      <w:pPr>
        <w:pStyle w:val="Standard"/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966839">
      <w:pPr>
        <w:pStyle w:val="Standard"/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966839">
      <w:pPr>
        <w:pStyle w:val="Standard"/>
        <w:numPr>
          <w:ilvl w:val="0"/>
          <w:numId w:val="2"/>
        </w:numPr>
        <w:spacing w:line="270" w:lineRule="exact"/>
        <w:ind w:left="567" w:right="170" w:hanging="210"/>
        <w:jc w:val="both"/>
      </w:pPr>
      <w:r>
        <w:rPr>
          <w:rFonts w:ascii="Arial" w:hAnsi="Arial" w:cs="Arial"/>
          <w:sz w:val="20"/>
          <w:szCs w:val="20"/>
        </w:rPr>
        <w:t>Le retour des appréciations au candidat s’effectue après l’expertise ; l'explication se fait sur la base des contenus de la liste à évaluer avec comme référence le cahier des compétences ; le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retour direct oral au candidat est à privilégier et est à prévoir dans un délai court après la fin de l’expertise.</w:t>
      </w:r>
    </w:p>
    <w:p w:rsidR="00165A96" w:rsidRDefault="00165A96" w:rsidP="00966839">
      <w:pPr>
        <w:pStyle w:val="Standard"/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966839">
      <w:pPr>
        <w:pStyle w:val="Standard"/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966839">
      <w:pPr>
        <w:pStyle w:val="Standard"/>
        <w:numPr>
          <w:ilvl w:val="0"/>
          <w:numId w:val="2"/>
        </w:numPr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conditions de réussite sont définies dans le cahier des compétences.</w:t>
      </w:r>
    </w:p>
    <w:p w:rsidR="00165A96" w:rsidRDefault="00165A96" w:rsidP="00966839">
      <w:pPr>
        <w:pStyle w:val="Standard"/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966839">
      <w:pPr>
        <w:pStyle w:val="Standard"/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966839">
      <w:pPr>
        <w:pStyle w:val="Standard"/>
        <w:numPr>
          <w:ilvl w:val="0"/>
          <w:numId w:val="2"/>
        </w:numPr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compétences personnelles particulières acceptées comme évaluables font aussi l’objet d’un retour après l’expertise.</w:t>
      </w:r>
    </w:p>
    <w:p w:rsidR="00165A96" w:rsidRDefault="00165A96" w:rsidP="00966839">
      <w:pPr>
        <w:pStyle w:val="Standard"/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966839">
      <w:pPr>
        <w:pStyle w:val="Standard"/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</w:p>
    <w:p w:rsidR="007B5903" w:rsidRDefault="00165A96" w:rsidP="00966839">
      <w:pPr>
        <w:pStyle w:val="Standard"/>
        <w:numPr>
          <w:ilvl w:val="0"/>
          <w:numId w:val="2"/>
        </w:numPr>
        <w:spacing w:line="270" w:lineRule="exact"/>
        <w:ind w:left="567" w:right="170" w:hanging="2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L’attestation de certification est établie avec les signatures de HGFVs, des experts officiels et de l’OSPVr.</w:t>
      </w:r>
    </w:p>
    <w:p w:rsidR="007B5903" w:rsidRDefault="007B5903">
      <w:pPr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B5903" w:rsidRPr="00F43BB4" w:rsidRDefault="007B5903" w:rsidP="007B5903">
      <w:pPr>
        <w:ind w:right="-284"/>
        <w:rPr>
          <w:rFonts w:ascii="Arial" w:hAnsi="Arial" w:cs="Arial"/>
          <w:sz w:val="20"/>
          <w:szCs w:val="20"/>
        </w:rPr>
      </w:pPr>
      <w:r w:rsidRPr="00F43BB4">
        <w:rPr>
          <w:rFonts w:ascii="Arial" w:hAnsi="Arial" w:cs="Arial"/>
          <w:b/>
          <w:sz w:val="28"/>
          <w:szCs w:val="28"/>
        </w:rPr>
        <w:lastRenderedPageBreak/>
        <w:t>Liste de</w:t>
      </w:r>
      <w:r w:rsidR="00D30AC3">
        <w:rPr>
          <w:rFonts w:ascii="Arial" w:hAnsi="Arial" w:cs="Arial"/>
          <w:b/>
          <w:sz w:val="28"/>
          <w:szCs w:val="28"/>
        </w:rPr>
        <w:t>s places de stages potentielles</w:t>
      </w:r>
    </w:p>
    <w:p w:rsidR="007B5903" w:rsidRPr="00F43BB4" w:rsidRDefault="007B5903" w:rsidP="007B5903">
      <w:pPr>
        <w:pStyle w:val="Stylepardfaut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:rsidR="007B5903" w:rsidRPr="00F43BB4" w:rsidRDefault="007B5903" w:rsidP="007B5903">
      <w:pPr>
        <w:pStyle w:val="Stylepardfaut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:rsidR="007B5903" w:rsidRPr="00F43BB4" w:rsidRDefault="007B5903" w:rsidP="007B5903">
      <w:pPr>
        <w:rPr>
          <w:rFonts w:ascii="Arial" w:hAnsi="Arial" w:cs="Arial"/>
          <w:b/>
          <w:sz w:val="30"/>
          <w:szCs w:val="30"/>
          <w:u w:val="single"/>
        </w:rPr>
      </w:pPr>
      <w:r w:rsidRPr="00F43BB4">
        <w:rPr>
          <w:rFonts w:ascii="Arial" w:hAnsi="Arial" w:cs="Arial"/>
          <w:b/>
          <w:sz w:val="30"/>
          <w:szCs w:val="30"/>
          <w:u w:val="single"/>
        </w:rPr>
        <w:t>Bas–Valais</w:t>
      </w:r>
    </w:p>
    <w:p w:rsidR="007B5903" w:rsidRPr="00F43BB4" w:rsidRDefault="007B5903" w:rsidP="007B5903">
      <w:pPr>
        <w:rPr>
          <w:rFonts w:ascii="Arial" w:hAnsi="Arial" w:cs="Arial"/>
          <w:b/>
          <w:sz w:val="20"/>
          <w:szCs w:val="20"/>
          <w:u w:val="single"/>
        </w:rPr>
      </w:pPr>
    </w:p>
    <w:p w:rsidR="007B5903" w:rsidRPr="00F43BB4" w:rsidRDefault="007B5903" w:rsidP="007B5903">
      <w:pPr>
        <w:tabs>
          <w:tab w:val="left" w:pos="5595"/>
          <w:tab w:val="left" w:pos="5760"/>
        </w:tabs>
        <w:rPr>
          <w:rFonts w:ascii="Arial" w:hAnsi="Arial" w:cs="Arial"/>
          <w:sz w:val="20"/>
          <w:szCs w:val="20"/>
        </w:rPr>
      </w:pPr>
      <w:r w:rsidRPr="00F43BB4">
        <w:rPr>
          <w:rFonts w:ascii="Arial" w:hAnsi="Arial" w:cs="Arial"/>
          <w:sz w:val="20"/>
          <w:szCs w:val="20"/>
        </w:rPr>
        <w:t>Auberge des Glaciers</w:t>
      </w:r>
      <w:r w:rsidRPr="00F43BB4">
        <w:rPr>
          <w:rFonts w:ascii="Arial" w:hAnsi="Arial" w:cs="Arial"/>
          <w:sz w:val="20"/>
          <w:szCs w:val="20"/>
        </w:rPr>
        <w:tab/>
        <w:t>La Fouly</w:t>
      </w:r>
    </w:p>
    <w:p w:rsidR="007B5903" w:rsidRPr="00F43BB4" w:rsidRDefault="007B5903" w:rsidP="007B5903">
      <w:pPr>
        <w:tabs>
          <w:tab w:val="left" w:pos="5595"/>
          <w:tab w:val="left" w:pos="5760"/>
        </w:tabs>
        <w:rPr>
          <w:rFonts w:ascii="Arial" w:hAnsi="Arial" w:cs="Arial"/>
          <w:sz w:val="20"/>
          <w:szCs w:val="20"/>
        </w:rPr>
      </w:pPr>
      <w:r w:rsidRPr="00F43BB4">
        <w:rPr>
          <w:rFonts w:ascii="Arial" w:hAnsi="Arial" w:cs="Arial"/>
          <w:sz w:val="20"/>
          <w:szCs w:val="20"/>
        </w:rPr>
        <w:t xml:space="preserve">Restaurant le Bourg-Ville </w:t>
      </w:r>
      <w:r w:rsidRPr="00F43BB4">
        <w:rPr>
          <w:rFonts w:ascii="Arial" w:hAnsi="Arial" w:cs="Arial"/>
          <w:sz w:val="20"/>
          <w:szCs w:val="20"/>
        </w:rPr>
        <w:tab/>
        <w:t>Martigny</w:t>
      </w:r>
    </w:p>
    <w:p w:rsidR="007B5903" w:rsidRPr="00F43BB4" w:rsidRDefault="007B5903" w:rsidP="007B5903">
      <w:pPr>
        <w:tabs>
          <w:tab w:val="left" w:pos="5595"/>
          <w:tab w:val="left" w:pos="5760"/>
        </w:tabs>
        <w:rPr>
          <w:rFonts w:ascii="Arial" w:hAnsi="Arial" w:cs="Arial"/>
          <w:sz w:val="20"/>
          <w:szCs w:val="20"/>
        </w:rPr>
      </w:pPr>
      <w:r w:rsidRPr="00F43BB4">
        <w:rPr>
          <w:rFonts w:ascii="Arial" w:hAnsi="Arial" w:cs="Arial"/>
          <w:sz w:val="20"/>
          <w:szCs w:val="20"/>
        </w:rPr>
        <w:t>Café restaurant de la Gare</w:t>
      </w:r>
      <w:r w:rsidRPr="00F43BB4">
        <w:rPr>
          <w:rFonts w:ascii="Arial" w:hAnsi="Arial" w:cs="Arial"/>
          <w:sz w:val="20"/>
          <w:szCs w:val="20"/>
        </w:rPr>
        <w:tab/>
        <w:t>St-Maurice</w:t>
      </w:r>
    </w:p>
    <w:p w:rsidR="007B5903" w:rsidRPr="009548E6" w:rsidRDefault="007B5903" w:rsidP="007B5903">
      <w:pPr>
        <w:tabs>
          <w:tab w:val="left" w:pos="5595"/>
          <w:tab w:val="left" w:pos="5760"/>
        </w:tabs>
        <w:rPr>
          <w:rFonts w:ascii="Arial" w:hAnsi="Arial" w:cs="Arial"/>
          <w:sz w:val="20"/>
          <w:szCs w:val="20"/>
          <w:lang w:val="en-US"/>
        </w:rPr>
      </w:pPr>
      <w:r w:rsidRPr="009548E6">
        <w:rPr>
          <w:rFonts w:ascii="Arial" w:hAnsi="Arial" w:cs="Arial"/>
          <w:sz w:val="20"/>
          <w:szCs w:val="20"/>
          <w:lang w:val="en-US"/>
        </w:rPr>
        <w:t xml:space="preserve">CRTO </w:t>
      </w:r>
      <w:r w:rsidRPr="009548E6">
        <w:rPr>
          <w:rFonts w:ascii="Arial" w:hAnsi="Arial" w:cs="Arial"/>
          <w:sz w:val="20"/>
          <w:szCs w:val="20"/>
          <w:lang w:val="en-US"/>
        </w:rPr>
        <w:tab/>
        <w:t>Monthey</w:t>
      </w:r>
    </w:p>
    <w:p w:rsidR="007B5903" w:rsidRPr="009548E6" w:rsidRDefault="007B5903" w:rsidP="007B5903">
      <w:pPr>
        <w:tabs>
          <w:tab w:val="left" w:pos="5595"/>
          <w:tab w:val="left" w:pos="5760"/>
        </w:tabs>
        <w:rPr>
          <w:rFonts w:ascii="Arial" w:hAnsi="Arial" w:cs="Arial"/>
          <w:sz w:val="20"/>
          <w:szCs w:val="20"/>
          <w:lang w:val="en-US"/>
        </w:rPr>
      </w:pPr>
      <w:r w:rsidRPr="009548E6">
        <w:rPr>
          <w:rFonts w:ascii="Arial" w:hAnsi="Arial" w:cs="Arial"/>
          <w:sz w:val="20"/>
          <w:szCs w:val="20"/>
          <w:lang w:val="en-US"/>
        </w:rPr>
        <w:t>Hôpital de Martigny</w:t>
      </w:r>
      <w:r w:rsidRPr="009548E6">
        <w:rPr>
          <w:rFonts w:ascii="Arial" w:hAnsi="Arial" w:cs="Arial"/>
          <w:sz w:val="20"/>
          <w:szCs w:val="20"/>
          <w:lang w:val="en-US"/>
        </w:rPr>
        <w:tab/>
        <w:t>Martigny</w:t>
      </w:r>
    </w:p>
    <w:p w:rsidR="007B5903" w:rsidRPr="009548E6" w:rsidRDefault="007B5903" w:rsidP="007B5903">
      <w:pPr>
        <w:tabs>
          <w:tab w:val="left" w:pos="5595"/>
          <w:tab w:val="left" w:pos="5760"/>
        </w:tabs>
        <w:rPr>
          <w:rFonts w:ascii="Arial" w:hAnsi="Arial" w:cs="Arial"/>
          <w:sz w:val="20"/>
          <w:szCs w:val="20"/>
          <w:lang w:val="en-US"/>
        </w:rPr>
      </w:pPr>
    </w:p>
    <w:p w:rsidR="007B5903" w:rsidRPr="009548E6" w:rsidRDefault="007B5903" w:rsidP="007B5903">
      <w:pPr>
        <w:tabs>
          <w:tab w:val="left" w:pos="5760"/>
        </w:tabs>
        <w:rPr>
          <w:rFonts w:ascii="Arial" w:hAnsi="Arial" w:cs="Arial"/>
          <w:sz w:val="20"/>
          <w:szCs w:val="20"/>
          <w:lang w:val="en-US"/>
        </w:rPr>
      </w:pPr>
    </w:p>
    <w:p w:rsidR="007B5903" w:rsidRPr="00F43BB4" w:rsidRDefault="007B5903" w:rsidP="007B5903">
      <w:pPr>
        <w:rPr>
          <w:rFonts w:ascii="Arial" w:hAnsi="Arial" w:cs="Arial"/>
          <w:b/>
          <w:sz w:val="30"/>
          <w:szCs w:val="30"/>
          <w:u w:val="single"/>
        </w:rPr>
      </w:pPr>
      <w:r w:rsidRPr="00F43BB4">
        <w:rPr>
          <w:rFonts w:ascii="Arial" w:hAnsi="Arial" w:cs="Arial"/>
          <w:b/>
          <w:sz w:val="30"/>
          <w:szCs w:val="30"/>
          <w:u w:val="single"/>
        </w:rPr>
        <w:t xml:space="preserve">Valais central </w:t>
      </w:r>
    </w:p>
    <w:p w:rsidR="007B5903" w:rsidRPr="00F43BB4" w:rsidRDefault="007B5903" w:rsidP="007B5903">
      <w:pPr>
        <w:rPr>
          <w:rFonts w:ascii="Arial" w:hAnsi="Arial" w:cs="Arial"/>
          <w:b/>
          <w:sz w:val="20"/>
          <w:szCs w:val="20"/>
          <w:u w:val="single"/>
        </w:rPr>
      </w:pPr>
    </w:p>
    <w:p w:rsidR="007B5903" w:rsidRPr="00F43BB4" w:rsidRDefault="007B5903" w:rsidP="007B5903">
      <w:pPr>
        <w:tabs>
          <w:tab w:val="left" w:pos="5595"/>
          <w:tab w:val="left" w:pos="5760"/>
        </w:tabs>
        <w:rPr>
          <w:rFonts w:ascii="Arial" w:hAnsi="Arial" w:cs="Arial"/>
          <w:sz w:val="20"/>
          <w:szCs w:val="20"/>
        </w:rPr>
      </w:pPr>
      <w:r w:rsidRPr="00F43BB4">
        <w:rPr>
          <w:rFonts w:ascii="Arial" w:hAnsi="Arial" w:cs="Arial"/>
          <w:sz w:val="20"/>
          <w:szCs w:val="20"/>
        </w:rPr>
        <w:t>L’enclos de Valère</w:t>
      </w:r>
      <w:r w:rsidRPr="00F43BB4">
        <w:rPr>
          <w:rFonts w:ascii="Arial" w:hAnsi="Arial" w:cs="Arial"/>
          <w:sz w:val="20"/>
          <w:szCs w:val="20"/>
        </w:rPr>
        <w:tab/>
        <w:t>Sion</w:t>
      </w:r>
    </w:p>
    <w:p w:rsidR="007B5903" w:rsidRPr="00F43BB4" w:rsidRDefault="007B5903" w:rsidP="007B5903">
      <w:pPr>
        <w:tabs>
          <w:tab w:val="left" w:pos="5595"/>
          <w:tab w:val="left" w:pos="5760"/>
        </w:tabs>
        <w:rPr>
          <w:rFonts w:ascii="Arial" w:hAnsi="Arial" w:cs="Arial"/>
          <w:sz w:val="20"/>
          <w:szCs w:val="20"/>
        </w:rPr>
      </w:pPr>
      <w:r w:rsidRPr="00F43BB4">
        <w:rPr>
          <w:rFonts w:ascii="Arial" w:hAnsi="Arial" w:cs="Arial"/>
          <w:sz w:val="20"/>
          <w:szCs w:val="20"/>
        </w:rPr>
        <w:t xml:space="preserve">La glacière </w:t>
      </w:r>
      <w:r w:rsidRPr="00F43BB4">
        <w:rPr>
          <w:rFonts w:ascii="Arial" w:hAnsi="Arial" w:cs="Arial"/>
          <w:sz w:val="20"/>
          <w:szCs w:val="20"/>
        </w:rPr>
        <w:tab/>
        <w:t>Sion</w:t>
      </w:r>
    </w:p>
    <w:p w:rsidR="007B5903" w:rsidRPr="00F43BB4" w:rsidRDefault="007B5903" w:rsidP="007B5903">
      <w:pPr>
        <w:tabs>
          <w:tab w:val="left" w:pos="5595"/>
          <w:tab w:val="left" w:pos="5760"/>
        </w:tabs>
        <w:rPr>
          <w:rFonts w:ascii="Arial" w:hAnsi="Arial" w:cs="Arial"/>
          <w:sz w:val="20"/>
          <w:szCs w:val="20"/>
        </w:rPr>
      </w:pPr>
      <w:r w:rsidRPr="00F43BB4">
        <w:rPr>
          <w:rFonts w:ascii="Arial" w:hAnsi="Arial" w:cs="Arial"/>
          <w:sz w:val="20"/>
          <w:szCs w:val="20"/>
        </w:rPr>
        <w:t>Ecole d’agriculture EPASC</w:t>
      </w:r>
      <w:r w:rsidRPr="00F43BB4">
        <w:rPr>
          <w:rFonts w:ascii="Arial" w:hAnsi="Arial" w:cs="Arial"/>
          <w:sz w:val="20"/>
          <w:szCs w:val="20"/>
        </w:rPr>
        <w:tab/>
        <w:t>Châteauneuf</w:t>
      </w:r>
    </w:p>
    <w:p w:rsidR="007B5903" w:rsidRPr="00F43BB4" w:rsidRDefault="007B5903" w:rsidP="007B5903">
      <w:pPr>
        <w:tabs>
          <w:tab w:val="left" w:pos="5595"/>
          <w:tab w:val="left" w:pos="5760"/>
        </w:tabs>
        <w:rPr>
          <w:rFonts w:ascii="Arial" w:hAnsi="Arial" w:cs="Arial"/>
          <w:sz w:val="20"/>
          <w:szCs w:val="20"/>
        </w:rPr>
      </w:pPr>
      <w:r w:rsidRPr="00F43BB4">
        <w:rPr>
          <w:rFonts w:ascii="Arial" w:hAnsi="Arial" w:cs="Arial"/>
          <w:sz w:val="20"/>
          <w:szCs w:val="20"/>
        </w:rPr>
        <w:t>Centre du Botza</w:t>
      </w:r>
      <w:r w:rsidRPr="00F43BB4">
        <w:rPr>
          <w:rFonts w:ascii="Arial" w:hAnsi="Arial" w:cs="Arial"/>
          <w:sz w:val="20"/>
          <w:szCs w:val="20"/>
        </w:rPr>
        <w:tab/>
        <w:t>Botza</w:t>
      </w:r>
    </w:p>
    <w:p w:rsidR="007B5903" w:rsidRPr="00F43BB4" w:rsidRDefault="007B5903" w:rsidP="007B5903">
      <w:pPr>
        <w:tabs>
          <w:tab w:val="left" w:pos="5595"/>
          <w:tab w:val="left" w:pos="5760"/>
        </w:tabs>
        <w:rPr>
          <w:rFonts w:ascii="Arial" w:hAnsi="Arial" w:cs="Arial"/>
          <w:sz w:val="20"/>
          <w:szCs w:val="20"/>
        </w:rPr>
      </w:pPr>
      <w:r w:rsidRPr="00F43BB4">
        <w:rPr>
          <w:rFonts w:ascii="Arial" w:hAnsi="Arial" w:cs="Arial"/>
          <w:sz w:val="20"/>
          <w:szCs w:val="20"/>
        </w:rPr>
        <w:t>Centre Orif / petit pois carotte</w:t>
      </w:r>
      <w:r w:rsidRPr="00F43BB4">
        <w:rPr>
          <w:rFonts w:ascii="Arial" w:hAnsi="Arial" w:cs="Arial"/>
          <w:sz w:val="20"/>
          <w:szCs w:val="20"/>
        </w:rPr>
        <w:tab/>
        <w:t>Pont-De-La-Morge</w:t>
      </w:r>
    </w:p>
    <w:p w:rsidR="007B5903" w:rsidRPr="00F43BB4" w:rsidRDefault="007B5903" w:rsidP="007B5903">
      <w:pPr>
        <w:tabs>
          <w:tab w:val="left" w:pos="5595"/>
          <w:tab w:val="left" w:pos="5760"/>
        </w:tabs>
        <w:rPr>
          <w:rFonts w:ascii="Arial" w:hAnsi="Arial" w:cs="Arial"/>
          <w:sz w:val="20"/>
          <w:szCs w:val="20"/>
        </w:rPr>
      </w:pPr>
      <w:r w:rsidRPr="00F43BB4">
        <w:rPr>
          <w:rFonts w:ascii="Arial" w:hAnsi="Arial" w:cs="Arial"/>
          <w:sz w:val="20"/>
          <w:szCs w:val="20"/>
        </w:rPr>
        <w:t>Restaurant de l’OSEO</w:t>
      </w:r>
      <w:r w:rsidRPr="00F43BB4">
        <w:rPr>
          <w:rFonts w:ascii="Arial" w:hAnsi="Arial" w:cs="Arial"/>
          <w:sz w:val="20"/>
          <w:szCs w:val="20"/>
        </w:rPr>
        <w:tab/>
        <w:t xml:space="preserve">Sion </w:t>
      </w:r>
    </w:p>
    <w:p w:rsidR="007B5903" w:rsidRPr="00F43BB4" w:rsidRDefault="007B5903" w:rsidP="007B5903">
      <w:pPr>
        <w:tabs>
          <w:tab w:val="left" w:pos="5595"/>
          <w:tab w:val="left" w:pos="5760"/>
        </w:tabs>
        <w:rPr>
          <w:rFonts w:ascii="Arial" w:hAnsi="Arial" w:cs="Arial"/>
          <w:sz w:val="20"/>
          <w:szCs w:val="20"/>
        </w:rPr>
      </w:pPr>
      <w:r w:rsidRPr="00F43BB4">
        <w:rPr>
          <w:rFonts w:ascii="Arial" w:hAnsi="Arial" w:cs="Arial"/>
          <w:sz w:val="20"/>
          <w:szCs w:val="20"/>
        </w:rPr>
        <w:t>Clinique de la SUVA</w:t>
      </w:r>
      <w:r w:rsidRPr="00F43BB4">
        <w:rPr>
          <w:rFonts w:ascii="Arial" w:hAnsi="Arial" w:cs="Arial"/>
          <w:sz w:val="20"/>
          <w:szCs w:val="20"/>
        </w:rPr>
        <w:tab/>
        <w:t>Sion</w:t>
      </w:r>
    </w:p>
    <w:p w:rsidR="007B5903" w:rsidRPr="00F43BB4" w:rsidRDefault="007B5903" w:rsidP="007B5903">
      <w:pPr>
        <w:rPr>
          <w:rFonts w:ascii="Arial" w:hAnsi="Arial" w:cs="Arial"/>
          <w:b/>
          <w:sz w:val="20"/>
          <w:szCs w:val="20"/>
          <w:u w:val="single"/>
        </w:rPr>
      </w:pPr>
    </w:p>
    <w:p w:rsidR="007B5903" w:rsidRPr="00F43BB4" w:rsidRDefault="007B5903" w:rsidP="007B5903">
      <w:pPr>
        <w:rPr>
          <w:rFonts w:ascii="Arial" w:hAnsi="Arial" w:cs="Arial"/>
          <w:b/>
          <w:sz w:val="20"/>
          <w:szCs w:val="20"/>
          <w:u w:val="single"/>
        </w:rPr>
      </w:pPr>
    </w:p>
    <w:p w:rsidR="007B5903" w:rsidRPr="009548E6" w:rsidRDefault="007B5903" w:rsidP="007B5903">
      <w:pPr>
        <w:rPr>
          <w:rFonts w:ascii="Arial" w:hAnsi="Arial" w:cs="Arial"/>
          <w:b/>
          <w:sz w:val="30"/>
          <w:szCs w:val="30"/>
          <w:u w:val="single"/>
          <w:lang w:val="de-CH"/>
        </w:rPr>
      </w:pPr>
      <w:r w:rsidRPr="009548E6">
        <w:rPr>
          <w:rFonts w:ascii="Arial" w:hAnsi="Arial" w:cs="Arial"/>
          <w:b/>
          <w:sz w:val="30"/>
          <w:szCs w:val="30"/>
          <w:u w:val="single"/>
          <w:lang w:val="de-CH"/>
        </w:rPr>
        <w:t>Haut-Valais</w:t>
      </w:r>
    </w:p>
    <w:p w:rsidR="007B5903" w:rsidRPr="009548E6" w:rsidRDefault="007B5903" w:rsidP="007B5903">
      <w:pPr>
        <w:tabs>
          <w:tab w:val="left" w:pos="5760"/>
        </w:tabs>
        <w:rPr>
          <w:rFonts w:ascii="Arial" w:hAnsi="Arial" w:cs="Arial"/>
          <w:lang w:val="de-CH"/>
        </w:rPr>
      </w:pPr>
    </w:p>
    <w:p w:rsidR="007B5903" w:rsidRPr="00F43BB4" w:rsidRDefault="007B5903" w:rsidP="007B5903">
      <w:pPr>
        <w:tabs>
          <w:tab w:val="left" w:pos="5760"/>
        </w:tabs>
        <w:rPr>
          <w:rFonts w:ascii="Arial" w:hAnsi="Arial" w:cs="Arial"/>
          <w:sz w:val="20"/>
          <w:szCs w:val="20"/>
          <w:lang w:val="de-CH"/>
        </w:rPr>
      </w:pPr>
      <w:r w:rsidRPr="00F43BB4">
        <w:rPr>
          <w:rFonts w:ascii="Arial" w:hAnsi="Arial" w:cs="Arial"/>
          <w:sz w:val="20"/>
          <w:szCs w:val="20"/>
          <w:lang w:val="de-CH"/>
        </w:rPr>
        <w:t>Restaurant Baltschiederbach</w:t>
      </w:r>
      <w:r w:rsidRPr="00F43BB4">
        <w:rPr>
          <w:rFonts w:ascii="Arial" w:hAnsi="Arial" w:cs="Arial"/>
          <w:sz w:val="20"/>
          <w:szCs w:val="20"/>
          <w:lang w:val="de-CH"/>
        </w:rPr>
        <w:tab/>
        <w:t>Baltschieder</w:t>
      </w:r>
    </w:p>
    <w:p w:rsidR="007B5903" w:rsidRPr="00F43BB4" w:rsidRDefault="007B5903" w:rsidP="007B5903">
      <w:pPr>
        <w:tabs>
          <w:tab w:val="left" w:pos="5760"/>
        </w:tabs>
        <w:rPr>
          <w:rFonts w:ascii="Arial" w:hAnsi="Arial" w:cs="Arial"/>
          <w:sz w:val="20"/>
          <w:szCs w:val="20"/>
          <w:lang w:val="de-CH"/>
        </w:rPr>
      </w:pPr>
      <w:r w:rsidRPr="00F43BB4">
        <w:rPr>
          <w:rFonts w:ascii="Arial" w:hAnsi="Arial" w:cs="Arial"/>
          <w:sz w:val="20"/>
          <w:szCs w:val="20"/>
          <w:lang w:val="de-CH"/>
        </w:rPr>
        <w:t>Restaurant Staldbach</w:t>
      </w:r>
      <w:r w:rsidRPr="00F43BB4">
        <w:rPr>
          <w:rFonts w:ascii="Arial" w:hAnsi="Arial" w:cs="Arial"/>
          <w:sz w:val="20"/>
          <w:szCs w:val="20"/>
          <w:lang w:val="de-CH"/>
        </w:rPr>
        <w:tab/>
        <w:t>Visp</w:t>
      </w:r>
    </w:p>
    <w:p w:rsidR="007B5903" w:rsidRPr="009548E6" w:rsidRDefault="007B5903" w:rsidP="007B5903">
      <w:pPr>
        <w:tabs>
          <w:tab w:val="left" w:pos="5760"/>
        </w:tabs>
        <w:rPr>
          <w:rFonts w:ascii="Arial" w:hAnsi="Arial" w:cs="Arial"/>
          <w:sz w:val="20"/>
          <w:szCs w:val="20"/>
          <w:lang w:val="de-CH"/>
        </w:rPr>
      </w:pPr>
      <w:r w:rsidRPr="009548E6">
        <w:rPr>
          <w:rFonts w:ascii="Arial" w:hAnsi="Arial" w:cs="Arial"/>
          <w:sz w:val="20"/>
          <w:szCs w:val="20"/>
          <w:lang w:val="de-CH"/>
        </w:rPr>
        <w:t>Restaurant Bahnhofbuffet</w:t>
      </w:r>
      <w:r w:rsidRPr="009548E6">
        <w:rPr>
          <w:rFonts w:ascii="Arial" w:hAnsi="Arial" w:cs="Arial"/>
          <w:sz w:val="20"/>
          <w:szCs w:val="20"/>
          <w:lang w:val="de-CH"/>
        </w:rPr>
        <w:tab/>
        <w:t>Gampel</w:t>
      </w:r>
    </w:p>
    <w:p w:rsidR="007B5903" w:rsidRPr="009548E6" w:rsidRDefault="007B5903" w:rsidP="007B5903">
      <w:pPr>
        <w:tabs>
          <w:tab w:val="left" w:pos="5760"/>
        </w:tabs>
        <w:rPr>
          <w:rFonts w:ascii="Arial" w:hAnsi="Arial" w:cs="Arial"/>
          <w:sz w:val="20"/>
          <w:szCs w:val="20"/>
          <w:lang w:val="de-CH"/>
        </w:rPr>
      </w:pPr>
      <w:r w:rsidRPr="009548E6">
        <w:rPr>
          <w:rFonts w:ascii="Arial" w:hAnsi="Arial" w:cs="Arial"/>
          <w:sz w:val="20"/>
          <w:szCs w:val="20"/>
          <w:lang w:val="de-CH"/>
        </w:rPr>
        <w:t>Hotel-Restaurant Tenne</w:t>
      </w:r>
      <w:r w:rsidRPr="009548E6">
        <w:rPr>
          <w:rFonts w:ascii="Arial" w:hAnsi="Arial" w:cs="Arial"/>
          <w:sz w:val="20"/>
          <w:szCs w:val="20"/>
          <w:lang w:val="de-CH"/>
        </w:rPr>
        <w:tab/>
        <w:t>Gluringen</w:t>
      </w:r>
    </w:p>
    <w:p w:rsidR="007B5903" w:rsidRPr="00F43BB4" w:rsidRDefault="007B5903" w:rsidP="007B5903">
      <w:pPr>
        <w:tabs>
          <w:tab w:val="left" w:pos="5760"/>
        </w:tabs>
        <w:rPr>
          <w:rFonts w:ascii="Arial" w:hAnsi="Arial" w:cs="Arial"/>
          <w:sz w:val="20"/>
          <w:szCs w:val="20"/>
          <w:lang w:val="de-CH"/>
        </w:rPr>
      </w:pPr>
      <w:r w:rsidRPr="00F43BB4">
        <w:rPr>
          <w:rFonts w:ascii="Arial" w:hAnsi="Arial" w:cs="Arial"/>
          <w:sz w:val="20"/>
          <w:szCs w:val="20"/>
          <w:lang w:val="de-CH"/>
        </w:rPr>
        <w:t>Verantwortlicher Küchenorganisation Spitäler</w:t>
      </w:r>
      <w:r w:rsidRPr="00F43BB4">
        <w:rPr>
          <w:rFonts w:ascii="Arial" w:hAnsi="Arial" w:cs="Arial"/>
          <w:sz w:val="20"/>
          <w:szCs w:val="20"/>
          <w:lang w:val="de-CH"/>
        </w:rPr>
        <w:tab/>
        <w:t>Brig und Visp</w:t>
      </w:r>
    </w:p>
    <w:p w:rsidR="007B5903" w:rsidRPr="00F43BB4" w:rsidRDefault="007B5903" w:rsidP="007B5903">
      <w:pPr>
        <w:tabs>
          <w:tab w:val="left" w:pos="5760"/>
        </w:tabs>
        <w:rPr>
          <w:rFonts w:ascii="Arial" w:hAnsi="Arial" w:cs="Arial"/>
          <w:lang w:val="de-CH"/>
        </w:rPr>
      </w:pPr>
    </w:p>
    <w:p w:rsidR="007B5903" w:rsidRPr="009548E6" w:rsidRDefault="007B5903" w:rsidP="007B5903">
      <w:pPr>
        <w:tabs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7B5903" w:rsidRPr="009548E6" w:rsidRDefault="007B5903" w:rsidP="007B5903">
      <w:pPr>
        <w:tabs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7B5903" w:rsidRPr="00F43BB4" w:rsidRDefault="007B5903" w:rsidP="007B5903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F43BB4">
        <w:rPr>
          <w:rFonts w:ascii="Arial" w:hAnsi="Arial" w:cs="Arial"/>
          <w:sz w:val="20"/>
          <w:szCs w:val="20"/>
        </w:rPr>
        <w:t>Cette liste est non exhaustive et non définitive.</w:t>
      </w:r>
    </w:p>
    <w:p w:rsidR="007B5903" w:rsidRPr="00F43BB4" w:rsidRDefault="007B5903" w:rsidP="007B5903">
      <w:pPr>
        <w:tabs>
          <w:tab w:val="left" w:pos="5760"/>
        </w:tabs>
        <w:rPr>
          <w:rFonts w:ascii="Arial" w:hAnsi="Arial" w:cs="Arial"/>
          <w:sz w:val="20"/>
          <w:szCs w:val="20"/>
        </w:rPr>
      </w:pPr>
    </w:p>
    <w:p w:rsidR="007B5903" w:rsidRPr="00F43BB4" w:rsidRDefault="007B5903" w:rsidP="007B5903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F43BB4">
        <w:rPr>
          <w:rFonts w:ascii="Arial" w:hAnsi="Arial" w:cs="Arial"/>
          <w:sz w:val="20"/>
          <w:szCs w:val="20"/>
        </w:rPr>
        <w:t xml:space="preserve">Les </w:t>
      </w:r>
      <w:r>
        <w:rPr>
          <w:rFonts w:ascii="Arial" w:hAnsi="Arial" w:cs="Arial"/>
          <w:sz w:val="20"/>
          <w:szCs w:val="20"/>
        </w:rPr>
        <w:t xml:space="preserve">places sont à disposition, sous </w:t>
      </w:r>
      <w:r w:rsidRPr="00F43BB4">
        <w:rPr>
          <w:rFonts w:ascii="Arial" w:hAnsi="Arial" w:cs="Arial"/>
          <w:sz w:val="20"/>
          <w:szCs w:val="20"/>
        </w:rPr>
        <w:t xml:space="preserve">réserve de la disponibilité des </w:t>
      </w:r>
      <w:r>
        <w:rPr>
          <w:rFonts w:ascii="Arial" w:hAnsi="Arial" w:cs="Arial"/>
          <w:sz w:val="20"/>
          <w:szCs w:val="20"/>
        </w:rPr>
        <w:t>lieux de pratique</w:t>
      </w:r>
      <w:r w:rsidRPr="00F43BB4">
        <w:rPr>
          <w:rFonts w:ascii="Arial" w:hAnsi="Arial" w:cs="Arial"/>
          <w:sz w:val="20"/>
          <w:szCs w:val="20"/>
        </w:rPr>
        <w:t xml:space="preserve"> ci-dessus.</w:t>
      </w:r>
    </w:p>
    <w:p w:rsidR="007B5903" w:rsidRPr="00F43BB4" w:rsidRDefault="007B5903" w:rsidP="007B5903">
      <w:pPr>
        <w:tabs>
          <w:tab w:val="left" w:pos="5760"/>
        </w:tabs>
        <w:rPr>
          <w:rFonts w:ascii="Arial" w:hAnsi="Arial" w:cs="Arial"/>
          <w:sz w:val="20"/>
          <w:szCs w:val="20"/>
        </w:rPr>
      </w:pPr>
    </w:p>
    <w:p w:rsidR="007B5903" w:rsidRPr="00F43BB4" w:rsidRDefault="007B5903" w:rsidP="007B5903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F43BB4">
        <w:rPr>
          <w:rFonts w:ascii="Arial" w:hAnsi="Arial" w:cs="Arial"/>
          <w:sz w:val="20"/>
          <w:szCs w:val="20"/>
        </w:rPr>
        <w:t>Ces places ont été présélectionnées, mais d’autres selon le choix de la personne et/ou d’une institution peuvent également faire partie du processus sur proposition.</w:t>
      </w:r>
    </w:p>
    <w:p w:rsidR="00165A96" w:rsidRDefault="00165A96" w:rsidP="007B5903">
      <w:pPr>
        <w:pStyle w:val="Standard"/>
        <w:ind w:left="567" w:right="170"/>
        <w:jc w:val="both"/>
        <w:rPr>
          <w:rFonts w:ascii="Arial" w:hAnsi="Arial" w:cs="Arial"/>
          <w:sz w:val="20"/>
          <w:szCs w:val="20"/>
        </w:rPr>
      </w:pPr>
    </w:p>
    <w:p w:rsidR="00165A96" w:rsidRDefault="00165A96" w:rsidP="00165A96">
      <w:pPr>
        <w:pStyle w:val="Standard"/>
        <w:rPr>
          <w:rFonts w:ascii="Arial" w:hAnsi="Arial" w:cs="Arial"/>
          <w:sz w:val="20"/>
          <w:szCs w:val="20"/>
        </w:rPr>
      </w:pPr>
    </w:p>
    <w:p w:rsidR="0065208C" w:rsidRPr="00C45DBF" w:rsidRDefault="0065208C" w:rsidP="00C45DBF">
      <w:pPr>
        <w:ind w:left="-98" w:right="-284"/>
        <w:rPr>
          <w:rFonts w:ascii="Arial" w:hAnsi="Arial" w:cs="Arial"/>
          <w:sz w:val="20"/>
          <w:szCs w:val="20"/>
        </w:rPr>
      </w:pPr>
    </w:p>
    <w:sectPr w:rsidR="0065208C" w:rsidRPr="00C45DBF" w:rsidSect="00F21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92" w:left="1418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F8" w:rsidRDefault="00EA2EF8" w:rsidP="00EA2EF8">
      <w:r>
        <w:separator/>
      </w:r>
    </w:p>
  </w:endnote>
  <w:endnote w:type="continuationSeparator" w:id="0">
    <w:p w:rsidR="00EA2EF8" w:rsidRDefault="00EA2EF8" w:rsidP="00EA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39" w:rsidRDefault="009668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552042260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</w:rPr>
          <w:id w:val="1803430298"/>
          <w:docPartObj>
            <w:docPartGallery w:val="Page Numbers (Top of Page)"/>
            <w:docPartUnique/>
          </w:docPartObj>
        </w:sdtPr>
        <w:sdtEndPr/>
        <w:sdtContent>
          <w:p w:rsidR="00F21754" w:rsidRPr="00CE4E64" w:rsidRDefault="00F21754" w:rsidP="00F21754">
            <w:pPr>
              <w:pStyle w:val="Pieddepage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:rsidR="00F21754" w:rsidRPr="00CE4E64" w:rsidRDefault="00F21754" w:rsidP="000A6531">
            <w:pPr>
              <w:pStyle w:val="Pieddepage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:rsidR="009405FE" w:rsidRPr="00CE4E64" w:rsidRDefault="000A6531" w:rsidP="000A6531">
            <w:pPr>
              <w:pStyle w:val="Pieddepage"/>
              <w:rPr>
                <w:color w:val="A6A6A6" w:themeColor="background1" w:themeShade="A6"/>
              </w:rPr>
            </w:pPr>
            <w:r w:rsidRPr="00CE4E64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ab/>
            </w:r>
            <w:r w:rsidR="009405FE" w:rsidRPr="00CE4E64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fr-FR"/>
              </w:rPr>
              <w:t>Page</w:t>
            </w:r>
            <w:r w:rsidR="009405FE" w:rsidRPr="00CE4E64">
              <w:rPr>
                <w:rFonts w:ascii="Arial" w:hAnsi="Arial" w:cs="Arial"/>
                <w:color w:val="A6A6A6" w:themeColor="background1" w:themeShade="A6"/>
                <w:sz w:val="14"/>
                <w:szCs w:val="14"/>
                <w:lang w:val="fr-FR"/>
              </w:rPr>
              <w:t xml:space="preserve"> </w:t>
            </w:r>
            <w:r w:rsidR="009405FE" w:rsidRPr="00CE4E64">
              <w:rPr>
                <w:rFonts w:ascii="Arial" w:hAnsi="Arial" w:cs="Arial"/>
                <w:bCs/>
                <w:color w:val="A6A6A6" w:themeColor="background1" w:themeShade="A6"/>
                <w:sz w:val="14"/>
                <w:szCs w:val="14"/>
              </w:rPr>
              <w:fldChar w:fldCharType="begin"/>
            </w:r>
            <w:r w:rsidR="009405FE" w:rsidRPr="00CE4E64">
              <w:rPr>
                <w:rFonts w:ascii="Arial" w:hAnsi="Arial" w:cs="Arial"/>
                <w:bCs/>
                <w:color w:val="A6A6A6" w:themeColor="background1" w:themeShade="A6"/>
                <w:sz w:val="14"/>
                <w:szCs w:val="14"/>
              </w:rPr>
              <w:instrText>PAGE</w:instrText>
            </w:r>
            <w:r w:rsidR="009405FE" w:rsidRPr="00CE4E64">
              <w:rPr>
                <w:rFonts w:ascii="Arial" w:hAnsi="Arial" w:cs="Arial"/>
                <w:bCs/>
                <w:color w:val="A6A6A6" w:themeColor="background1" w:themeShade="A6"/>
                <w:sz w:val="14"/>
                <w:szCs w:val="14"/>
              </w:rPr>
              <w:fldChar w:fldCharType="separate"/>
            </w:r>
            <w:r w:rsidR="00D364ED">
              <w:rPr>
                <w:rFonts w:ascii="Arial" w:hAnsi="Arial" w:cs="Arial"/>
                <w:bCs/>
                <w:noProof/>
                <w:color w:val="A6A6A6" w:themeColor="background1" w:themeShade="A6"/>
                <w:sz w:val="14"/>
                <w:szCs w:val="14"/>
              </w:rPr>
              <w:t>2</w:t>
            </w:r>
            <w:r w:rsidR="009405FE" w:rsidRPr="00CE4E64">
              <w:rPr>
                <w:rFonts w:ascii="Arial" w:hAnsi="Arial" w:cs="Arial"/>
                <w:bCs/>
                <w:color w:val="A6A6A6" w:themeColor="background1" w:themeShade="A6"/>
                <w:sz w:val="14"/>
                <w:szCs w:val="14"/>
              </w:rPr>
              <w:fldChar w:fldCharType="end"/>
            </w:r>
            <w:r w:rsidR="009405FE" w:rsidRPr="00CE4E64">
              <w:rPr>
                <w:rFonts w:ascii="Arial" w:hAnsi="Arial" w:cs="Arial"/>
                <w:color w:val="A6A6A6" w:themeColor="background1" w:themeShade="A6"/>
                <w:sz w:val="14"/>
                <w:szCs w:val="14"/>
                <w:lang w:val="fr-FR"/>
              </w:rPr>
              <w:t xml:space="preserve"> sur </w:t>
            </w:r>
            <w:r w:rsidR="009405FE" w:rsidRPr="00CE4E64">
              <w:rPr>
                <w:rFonts w:ascii="Arial" w:hAnsi="Arial" w:cs="Arial"/>
                <w:bCs/>
                <w:color w:val="A6A6A6" w:themeColor="background1" w:themeShade="A6"/>
                <w:sz w:val="14"/>
                <w:szCs w:val="14"/>
              </w:rPr>
              <w:fldChar w:fldCharType="begin"/>
            </w:r>
            <w:r w:rsidR="009405FE" w:rsidRPr="00CE4E64">
              <w:rPr>
                <w:rFonts w:ascii="Arial" w:hAnsi="Arial" w:cs="Arial"/>
                <w:bCs/>
                <w:color w:val="A6A6A6" w:themeColor="background1" w:themeShade="A6"/>
                <w:sz w:val="14"/>
                <w:szCs w:val="14"/>
              </w:rPr>
              <w:instrText>NUMPAGES</w:instrText>
            </w:r>
            <w:r w:rsidR="009405FE" w:rsidRPr="00CE4E64">
              <w:rPr>
                <w:rFonts w:ascii="Arial" w:hAnsi="Arial" w:cs="Arial"/>
                <w:bCs/>
                <w:color w:val="A6A6A6" w:themeColor="background1" w:themeShade="A6"/>
                <w:sz w:val="14"/>
                <w:szCs w:val="14"/>
              </w:rPr>
              <w:fldChar w:fldCharType="separate"/>
            </w:r>
            <w:r w:rsidR="00D364ED">
              <w:rPr>
                <w:rFonts w:ascii="Arial" w:hAnsi="Arial" w:cs="Arial"/>
                <w:bCs/>
                <w:noProof/>
                <w:color w:val="A6A6A6" w:themeColor="background1" w:themeShade="A6"/>
                <w:sz w:val="14"/>
                <w:szCs w:val="14"/>
              </w:rPr>
              <w:t>4</w:t>
            </w:r>
            <w:r w:rsidR="009405FE" w:rsidRPr="00CE4E64">
              <w:rPr>
                <w:rFonts w:ascii="Arial" w:hAnsi="Arial" w:cs="Arial"/>
                <w:bCs/>
                <w:color w:val="A6A6A6" w:themeColor="background1" w:themeShade="A6"/>
                <w:sz w:val="14"/>
                <w:szCs w:val="14"/>
              </w:rPr>
              <w:fldChar w:fldCharType="end"/>
            </w:r>
          </w:p>
        </w:sdtContent>
      </w:sdt>
    </w:sdtContent>
  </w:sdt>
  <w:p w:rsidR="009405FE" w:rsidRPr="00CE4E64" w:rsidRDefault="009405FE">
    <w:pPr>
      <w:pStyle w:val="Pieddepage"/>
      <w:rPr>
        <w:color w:val="A6A6A6" w:themeColor="background1" w:themeShade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36" w:rsidRPr="001D009C" w:rsidRDefault="00F21754" w:rsidP="00F21754">
    <w:pPr>
      <w:pStyle w:val="Pieddepage"/>
      <w:tabs>
        <w:tab w:val="clear" w:pos="9072"/>
      </w:tabs>
      <w:ind w:right="-286"/>
      <w:rPr>
        <w:rFonts w:ascii="Arial" w:hAnsi="Arial" w:cs="Arial"/>
        <w:color w:val="A6A6A6" w:themeColor="background1" w:themeShade="A6"/>
        <w:sz w:val="14"/>
        <w:szCs w:val="14"/>
      </w:rPr>
    </w:pPr>
    <w:r w:rsidRPr="001D009C">
      <w:rPr>
        <w:rFonts w:ascii="Arial" w:hAnsi="Arial" w:cs="Arial"/>
        <w:color w:val="A6A6A6" w:themeColor="background1" w:themeShade="A6"/>
        <w:sz w:val="14"/>
        <w:szCs w:val="14"/>
      </w:rPr>
      <w:t>OSPVR\7. Adultes\4. Prestations specifiques individuelles\2. RI_Reconn_institutionnelle\01. Instructions de travail\RI-PP Service</w:t>
    </w:r>
  </w:p>
  <w:p w:rsidR="00F21754" w:rsidRDefault="00F21754" w:rsidP="00F21754">
    <w:pPr>
      <w:pStyle w:val="Pieddepage"/>
      <w:tabs>
        <w:tab w:val="clear" w:pos="9072"/>
      </w:tabs>
      <w:ind w:right="-286"/>
      <w:rPr>
        <w:rFonts w:ascii="Arial" w:hAnsi="Arial" w:cs="Arial"/>
        <w:sz w:val="16"/>
        <w:szCs w:val="16"/>
      </w:rPr>
    </w:pPr>
  </w:p>
  <w:p w:rsidR="00F21754" w:rsidRPr="00F21754" w:rsidRDefault="00F21754">
    <w:pPr>
      <w:pStyle w:val="Pieddepage"/>
      <w:rPr>
        <w:rFonts w:ascii="Arial" w:hAnsi="Arial" w:cs="Arial"/>
        <w:sz w:val="16"/>
        <w:szCs w:val="16"/>
      </w:rPr>
    </w:pPr>
  </w:p>
  <w:p w:rsidR="00F21754" w:rsidRDefault="00F21754">
    <w:pPr>
      <w:pStyle w:val="Pieddepage"/>
    </w:pPr>
    <w:r>
      <w:rPr>
        <w:rFonts w:ascii="Arial" w:hAnsi="Arial" w:cs="Arial"/>
        <w:sz w:val="16"/>
        <w:szCs w:val="16"/>
        <w:lang w:val="fr-FR"/>
      </w:rPr>
      <w:tab/>
    </w:r>
    <w:r w:rsidRPr="00CE4E64">
      <w:rPr>
        <w:rFonts w:ascii="Arial" w:hAnsi="Arial" w:cs="Arial"/>
        <w:color w:val="A6A6A6" w:themeColor="background1" w:themeShade="A6"/>
        <w:sz w:val="16"/>
        <w:szCs w:val="16"/>
        <w:lang w:val="fr-FR"/>
      </w:rPr>
      <w:t>Page</w:t>
    </w:r>
    <w:r w:rsidRPr="00CE4E64">
      <w:rPr>
        <w:rFonts w:ascii="Arial" w:hAnsi="Arial" w:cs="Arial"/>
        <w:color w:val="A6A6A6" w:themeColor="background1" w:themeShade="A6"/>
        <w:sz w:val="14"/>
        <w:szCs w:val="14"/>
        <w:lang w:val="fr-FR"/>
      </w:rPr>
      <w:t xml:space="preserve"> </w:t>
    </w:r>
    <w:r w:rsidRPr="00CE4E64">
      <w:rPr>
        <w:rFonts w:ascii="Arial" w:hAnsi="Arial" w:cs="Arial"/>
        <w:bCs/>
        <w:color w:val="A6A6A6" w:themeColor="background1" w:themeShade="A6"/>
        <w:sz w:val="14"/>
        <w:szCs w:val="14"/>
      </w:rPr>
      <w:fldChar w:fldCharType="begin"/>
    </w:r>
    <w:r w:rsidRPr="00CE4E64">
      <w:rPr>
        <w:rFonts w:ascii="Arial" w:hAnsi="Arial" w:cs="Arial"/>
        <w:bCs/>
        <w:color w:val="A6A6A6" w:themeColor="background1" w:themeShade="A6"/>
        <w:sz w:val="14"/>
        <w:szCs w:val="14"/>
      </w:rPr>
      <w:instrText>PAGE</w:instrText>
    </w:r>
    <w:r w:rsidRPr="00CE4E64">
      <w:rPr>
        <w:rFonts w:ascii="Arial" w:hAnsi="Arial" w:cs="Arial"/>
        <w:bCs/>
        <w:color w:val="A6A6A6" w:themeColor="background1" w:themeShade="A6"/>
        <w:sz w:val="14"/>
        <w:szCs w:val="14"/>
      </w:rPr>
      <w:fldChar w:fldCharType="separate"/>
    </w:r>
    <w:r w:rsidR="00D364ED">
      <w:rPr>
        <w:rFonts w:ascii="Arial" w:hAnsi="Arial" w:cs="Arial"/>
        <w:bCs/>
        <w:noProof/>
        <w:color w:val="A6A6A6" w:themeColor="background1" w:themeShade="A6"/>
        <w:sz w:val="14"/>
        <w:szCs w:val="14"/>
      </w:rPr>
      <w:t>1</w:t>
    </w:r>
    <w:r w:rsidRPr="00CE4E64">
      <w:rPr>
        <w:rFonts w:ascii="Arial" w:hAnsi="Arial" w:cs="Arial"/>
        <w:bCs/>
        <w:color w:val="A6A6A6" w:themeColor="background1" w:themeShade="A6"/>
        <w:sz w:val="14"/>
        <w:szCs w:val="14"/>
      </w:rPr>
      <w:fldChar w:fldCharType="end"/>
    </w:r>
    <w:r w:rsidRPr="00CE4E64">
      <w:rPr>
        <w:rFonts w:ascii="Arial" w:hAnsi="Arial" w:cs="Arial"/>
        <w:color w:val="A6A6A6" w:themeColor="background1" w:themeShade="A6"/>
        <w:sz w:val="14"/>
        <w:szCs w:val="14"/>
        <w:lang w:val="fr-FR"/>
      </w:rPr>
      <w:t xml:space="preserve"> sur </w:t>
    </w:r>
    <w:r w:rsidRPr="00CE4E64">
      <w:rPr>
        <w:rFonts w:ascii="Arial" w:hAnsi="Arial" w:cs="Arial"/>
        <w:bCs/>
        <w:color w:val="A6A6A6" w:themeColor="background1" w:themeShade="A6"/>
        <w:sz w:val="14"/>
        <w:szCs w:val="14"/>
      </w:rPr>
      <w:fldChar w:fldCharType="begin"/>
    </w:r>
    <w:r w:rsidRPr="00CE4E64">
      <w:rPr>
        <w:rFonts w:ascii="Arial" w:hAnsi="Arial" w:cs="Arial"/>
        <w:bCs/>
        <w:color w:val="A6A6A6" w:themeColor="background1" w:themeShade="A6"/>
        <w:sz w:val="14"/>
        <w:szCs w:val="14"/>
      </w:rPr>
      <w:instrText>NUMPAGES</w:instrText>
    </w:r>
    <w:r w:rsidRPr="00CE4E64">
      <w:rPr>
        <w:rFonts w:ascii="Arial" w:hAnsi="Arial" w:cs="Arial"/>
        <w:bCs/>
        <w:color w:val="A6A6A6" w:themeColor="background1" w:themeShade="A6"/>
        <w:sz w:val="14"/>
        <w:szCs w:val="14"/>
      </w:rPr>
      <w:fldChar w:fldCharType="separate"/>
    </w:r>
    <w:r w:rsidR="00D364ED">
      <w:rPr>
        <w:rFonts w:ascii="Arial" w:hAnsi="Arial" w:cs="Arial"/>
        <w:bCs/>
        <w:noProof/>
        <w:color w:val="A6A6A6" w:themeColor="background1" w:themeShade="A6"/>
        <w:sz w:val="14"/>
        <w:szCs w:val="14"/>
      </w:rPr>
      <w:t>4</w:t>
    </w:r>
    <w:r w:rsidRPr="00CE4E64">
      <w:rPr>
        <w:rFonts w:ascii="Arial" w:hAnsi="Arial" w:cs="Arial"/>
        <w:bCs/>
        <w:color w:val="A6A6A6" w:themeColor="background1" w:themeShade="A6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F8" w:rsidRDefault="00EA2EF8" w:rsidP="00EA2EF8">
      <w:r>
        <w:separator/>
      </w:r>
    </w:p>
  </w:footnote>
  <w:footnote w:type="continuationSeparator" w:id="0">
    <w:p w:rsidR="00EA2EF8" w:rsidRDefault="00EA2EF8" w:rsidP="00EA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39" w:rsidRDefault="009668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39" w:rsidRDefault="0096683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72"/>
      <w:gridCol w:w="5008"/>
      <w:gridCol w:w="2784"/>
    </w:tblGrid>
    <w:tr w:rsidR="00F60296" w:rsidTr="00C9090F">
      <w:trPr>
        <w:trHeight w:val="1271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60296" w:rsidRDefault="00F60296" w:rsidP="00F60296">
          <w:pPr>
            <w:pStyle w:val="En-tte"/>
            <w:tabs>
              <w:tab w:val="clear" w:pos="4536"/>
            </w:tabs>
            <w:rPr>
              <w:rFonts w:ascii="Arial" w:eastAsia="Times New Roman" w:hAnsi="Arial" w:cs="Arial"/>
              <w:sz w:val="8"/>
              <w:szCs w:val="8"/>
            </w:rPr>
          </w:pPr>
        </w:p>
        <w:p w:rsidR="00F60296" w:rsidRDefault="00F60296" w:rsidP="00F60296">
          <w:pPr>
            <w:pStyle w:val="En-tte"/>
            <w:tabs>
              <w:tab w:val="clear" w:pos="4536"/>
            </w:tabs>
            <w:spacing w:before="120"/>
            <w:ind w:right="176"/>
          </w:pPr>
          <w:r>
            <w:rPr>
              <w:rFonts w:ascii="Arial" w:eastAsia="Times New Roman" w:hAnsi="Arial" w:cs="Arial"/>
              <w:noProof/>
              <w:sz w:val="20"/>
              <w:lang w:eastAsia="fr-CH"/>
            </w:rPr>
            <w:drawing>
              <wp:inline distT="0" distB="0" distL="0" distR="0" wp14:anchorId="070A3D67" wp14:editId="2EE25975">
                <wp:extent cx="908050" cy="596900"/>
                <wp:effectExtent l="0" t="0" r="6350" b="0"/>
                <wp:docPr id="25" name="Imag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573" cy="597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60296" w:rsidRDefault="00F60296" w:rsidP="00F60296">
          <w:pPr>
            <w:pStyle w:val="Standard"/>
            <w:widowControl/>
            <w:jc w:val="center"/>
            <w:textAlignment w:val="auto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en-US" w:bidi="ar-SA"/>
            </w:rPr>
          </w:pPr>
          <w:r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en-US" w:bidi="ar-SA"/>
            </w:rPr>
            <w:t xml:space="preserve">Manuel de RI-PP dans le secteur Service </w:t>
          </w:r>
        </w:p>
        <w:p w:rsidR="00F60296" w:rsidRDefault="00F60296" w:rsidP="00F60296">
          <w:pPr>
            <w:pStyle w:val="Standard"/>
            <w:widowControl/>
            <w:jc w:val="center"/>
            <w:textAlignment w:val="auto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en-US" w:bidi="ar-SA"/>
            </w:rPr>
          </w:pPr>
        </w:p>
        <w:p w:rsidR="00F60296" w:rsidRDefault="00E8231E" w:rsidP="00F60296">
          <w:pPr>
            <w:pStyle w:val="Standard"/>
            <w:widowControl/>
            <w:jc w:val="center"/>
            <w:textAlignment w:val="auto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en-US" w:bidi="ar-SA"/>
            </w:rPr>
          </w:pPr>
          <w:r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en-US" w:bidi="ar-SA"/>
            </w:rPr>
            <w:t>à l’attention des</w:t>
          </w:r>
          <w:r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en-US" w:bidi="ar-SA"/>
            </w:rPr>
            <w:br/>
          </w:r>
          <w:r w:rsidR="00F60296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en-US" w:bidi="ar-SA"/>
            </w:rPr>
            <w:t>C</w:t>
          </w:r>
          <w:r w:rsidR="00800E8E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en-US" w:bidi="ar-SA"/>
            </w:rPr>
            <w:t>entres d’information et d’orientation (CIO)</w:t>
          </w:r>
        </w:p>
        <w:p w:rsidR="00F60296" w:rsidRPr="00EA2EF8" w:rsidRDefault="00F60296" w:rsidP="00F60296">
          <w:pPr>
            <w:pStyle w:val="Standard"/>
            <w:widowControl/>
            <w:textAlignment w:val="auto"/>
            <w:rPr>
              <w:rFonts w:ascii="Arial" w:eastAsia="Times New Roman" w:hAnsi="Arial" w:cs="Arial"/>
              <w:b/>
              <w:bCs/>
              <w:kern w:val="0"/>
              <w:sz w:val="18"/>
              <w:szCs w:val="32"/>
              <w:lang w:eastAsia="en-US" w:bidi="ar-SA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60296" w:rsidRDefault="00F60296" w:rsidP="00F60296">
          <w:pPr>
            <w:pStyle w:val="En-tte"/>
            <w:tabs>
              <w:tab w:val="clear" w:pos="4536"/>
            </w:tabs>
            <w:jc w:val="right"/>
            <w:rPr>
              <w:rFonts w:ascii="Arial" w:eastAsia="Times New Roman" w:hAnsi="Arial" w:cs="Arial"/>
              <w:sz w:val="8"/>
              <w:szCs w:val="8"/>
            </w:rPr>
          </w:pPr>
        </w:p>
        <w:p w:rsidR="00F60296" w:rsidRDefault="00F60296" w:rsidP="00F60296">
          <w:pPr>
            <w:pStyle w:val="En-tte"/>
            <w:tabs>
              <w:tab w:val="clear" w:pos="4536"/>
            </w:tabs>
            <w:jc w:val="right"/>
            <w:rPr>
              <w:rFonts w:ascii="Arial" w:eastAsia="Times New Roman" w:hAnsi="Arial" w:cs="Arial"/>
              <w:sz w:val="2"/>
              <w:szCs w:val="2"/>
            </w:rPr>
          </w:pPr>
        </w:p>
        <w:p w:rsidR="00F60296" w:rsidRDefault="00F60296" w:rsidP="00F60296">
          <w:pPr>
            <w:pStyle w:val="En-tte"/>
            <w:tabs>
              <w:tab w:val="clear" w:pos="4536"/>
            </w:tabs>
            <w:jc w:val="right"/>
          </w:pPr>
          <w:r>
            <w:rPr>
              <w:noProof/>
              <w:lang w:eastAsia="fr-CH"/>
            </w:rPr>
            <w:drawing>
              <wp:inline distT="0" distB="0" distL="0" distR="0" wp14:anchorId="3C8EAA75" wp14:editId="482E12E2">
                <wp:extent cx="1605915" cy="584200"/>
                <wp:effectExtent l="0" t="0" r="0" b="6350"/>
                <wp:docPr id="26" name="Image 26" descr="GastroFormation_VS_logo_standard_rgb_3300p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 descr="GastroFormation_VS_logo_standard_rgb_3300px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91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60296" w:rsidTr="00C9090F">
      <w:trPr>
        <w:trHeight w:val="258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60296" w:rsidRDefault="00F60296" w:rsidP="00F60296">
          <w:pPr>
            <w:pStyle w:val="En-tte"/>
            <w:tabs>
              <w:tab w:val="clear" w:pos="4536"/>
            </w:tabs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60296" w:rsidRDefault="00F60296" w:rsidP="00F60296">
          <w:pPr>
            <w:pStyle w:val="En-tte"/>
            <w:tabs>
              <w:tab w:val="clear" w:pos="4536"/>
            </w:tabs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60296" w:rsidRDefault="00F60296" w:rsidP="00F60296">
          <w:pPr>
            <w:pStyle w:val="En-tte"/>
            <w:tabs>
              <w:tab w:val="clear" w:pos="4536"/>
            </w:tabs>
            <w:ind w:right="38"/>
            <w:jc w:val="right"/>
            <w:rPr>
              <w:rFonts w:ascii="Arial" w:eastAsia="Times New Roman" w:hAnsi="Arial" w:cs="Arial"/>
              <w:sz w:val="14"/>
              <w:szCs w:val="14"/>
            </w:rPr>
          </w:pPr>
          <w:r>
            <w:rPr>
              <w:rFonts w:ascii="Arial" w:eastAsia="Times New Roman" w:hAnsi="Arial" w:cs="Arial"/>
              <w:sz w:val="14"/>
              <w:szCs w:val="14"/>
            </w:rPr>
            <w:t xml:space="preserve">   V.1.0 du 7.01.2019/LC</w:t>
          </w:r>
        </w:p>
      </w:tc>
    </w:tr>
  </w:tbl>
  <w:p w:rsidR="00F60296" w:rsidRDefault="00F602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77F10"/>
    <w:multiLevelType w:val="hybridMultilevel"/>
    <w:tmpl w:val="AE58D6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10CC7"/>
    <w:multiLevelType w:val="multilevel"/>
    <w:tmpl w:val="9D2660F4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88C8A47-FBA6-4D1A-83B4-D476D61CD72B}"/>
    <w:docVar w:name="dgnword-eventsink" w:val="555433800"/>
  </w:docVars>
  <w:rsids>
    <w:rsidRoot w:val="004820BE"/>
    <w:rsid w:val="00000240"/>
    <w:rsid w:val="000A6531"/>
    <w:rsid w:val="00165A96"/>
    <w:rsid w:val="001D009C"/>
    <w:rsid w:val="003D38A6"/>
    <w:rsid w:val="00452A36"/>
    <w:rsid w:val="004820BE"/>
    <w:rsid w:val="005C3E13"/>
    <w:rsid w:val="006130EB"/>
    <w:rsid w:val="0065208C"/>
    <w:rsid w:val="00673186"/>
    <w:rsid w:val="007926BF"/>
    <w:rsid w:val="007B5903"/>
    <w:rsid w:val="00800E8E"/>
    <w:rsid w:val="0089262F"/>
    <w:rsid w:val="009405FE"/>
    <w:rsid w:val="00966839"/>
    <w:rsid w:val="00A44341"/>
    <w:rsid w:val="00A61EEE"/>
    <w:rsid w:val="00BB10FE"/>
    <w:rsid w:val="00C45DBF"/>
    <w:rsid w:val="00C7765B"/>
    <w:rsid w:val="00CE4E64"/>
    <w:rsid w:val="00D30AC3"/>
    <w:rsid w:val="00D364ED"/>
    <w:rsid w:val="00D931CF"/>
    <w:rsid w:val="00DA7331"/>
    <w:rsid w:val="00E8231E"/>
    <w:rsid w:val="00EA2EF8"/>
    <w:rsid w:val="00F0028F"/>
    <w:rsid w:val="00F21754"/>
    <w:rsid w:val="00F30530"/>
    <w:rsid w:val="00F517B2"/>
    <w:rsid w:val="00F60296"/>
    <w:rsid w:val="00F8490C"/>
    <w:rsid w:val="00F96143"/>
    <w:rsid w:val="00F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5:docId w15:val="{54031657-BAA7-402A-B166-FDA4037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4820BE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EA2E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A2EF8"/>
  </w:style>
  <w:style w:type="paragraph" w:styleId="Pieddepage">
    <w:name w:val="footer"/>
    <w:basedOn w:val="Normal"/>
    <w:link w:val="PieddepageCar"/>
    <w:uiPriority w:val="99"/>
    <w:unhideWhenUsed/>
    <w:rsid w:val="00EA2E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EF8"/>
  </w:style>
  <w:style w:type="paragraph" w:customStyle="1" w:styleId="Standard">
    <w:name w:val="Standard"/>
    <w:rsid w:val="00EA2EF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E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EF8"/>
    <w:rPr>
      <w:rFonts w:ascii="Tahoma" w:hAnsi="Tahoma" w:cs="Tahoma"/>
      <w:sz w:val="16"/>
      <w:szCs w:val="16"/>
    </w:rPr>
  </w:style>
  <w:style w:type="paragraph" w:customStyle="1" w:styleId="Stylepardfaut">
    <w:name w:val="Style par défaut"/>
    <w:rsid w:val="007B5903"/>
    <w:pPr>
      <w:suppressAutoHyphens/>
      <w:spacing w:after="200" w:line="276" w:lineRule="auto"/>
    </w:pPr>
    <w:rPr>
      <w:rFonts w:ascii="Calibri" w:eastAsia="DejaVu San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4999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</dc:creator>
  <cp:lastModifiedBy>Cindy GERMANIER</cp:lastModifiedBy>
  <cp:revision>2</cp:revision>
  <cp:lastPrinted>2019-01-07T13:51:00Z</cp:lastPrinted>
  <dcterms:created xsi:type="dcterms:W3CDTF">2021-11-19T11:16:00Z</dcterms:created>
  <dcterms:modified xsi:type="dcterms:W3CDTF">2021-11-19T11:16:00Z</dcterms:modified>
</cp:coreProperties>
</file>