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0C5773">
      <w:pPr>
        <w:pStyle w:val="couverturetypedocument"/>
        <w:spacing w:line="276" w:lineRule="auto"/>
        <w:rPr>
          <w:sz w:val="30"/>
          <w:szCs w:val="30"/>
        </w:rPr>
      </w:pPr>
      <w:r w:rsidRPr="00DA148C">
        <w:rPr>
          <w:sz w:val="30"/>
          <w:szCs w:val="30"/>
        </w:rPr>
        <w:t>Article-type</w:t>
      </w:r>
    </w:p>
    <w:p w14:paraId="181EF64B" w14:textId="5299BE08" w:rsidR="00E775C1" w:rsidRPr="00DA148C" w:rsidRDefault="00397BA0" w:rsidP="000C5773">
      <w:pPr>
        <w:pStyle w:val="couverturetitre"/>
        <w:spacing w:line="276" w:lineRule="auto"/>
        <w:rPr>
          <w:sz w:val="36"/>
          <w:szCs w:val="36"/>
        </w:rPr>
      </w:pPr>
      <w:r w:rsidRPr="00397BA0">
        <w:rPr>
          <w:sz w:val="36"/>
          <w:szCs w:val="36"/>
        </w:rPr>
        <w:t>Périmètres de 2</w:t>
      </w:r>
      <w:r w:rsidRPr="00397BA0">
        <w:rPr>
          <w:sz w:val="36"/>
          <w:szCs w:val="36"/>
          <w:vertAlign w:val="superscript"/>
        </w:rPr>
        <w:t>ème</w:t>
      </w:r>
      <w:r w:rsidRPr="00397BA0">
        <w:rPr>
          <w:sz w:val="36"/>
          <w:szCs w:val="36"/>
        </w:rPr>
        <w:t xml:space="preserve"> étape d’équipement</w:t>
      </w:r>
    </w:p>
    <w:p w14:paraId="7E797F33" w14:textId="77777777" w:rsidR="009C7E5E" w:rsidRPr="00DA148C" w:rsidRDefault="009C7E5E" w:rsidP="000C5773">
      <w:pPr>
        <w:pStyle w:val="couverturesous-titre"/>
        <w:spacing w:line="276" w:lineRule="auto"/>
        <w:rPr>
          <w:rFonts w:ascii="Helvetica 45 Light" w:hAnsi="Helvetica 45 Light"/>
        </w:rPr>
      </w:pPr>
      <w:r w:rsidRPr="000C5773">
        <w:rPr>
          <w:rFonts w:ascii="Helvetica 45 Light" w:hAnsi="Helvetica 45 Light"/>
        </w:rPr>
        <w:t>Août 2021 (version 1.0)</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68E8CFF0" w14:textId="795F90C2" w:rsidR="00397BA0" w:rsidRDefault="00397BA0" w:rsidP="00397BA0">
      <w:pPr>
        <w:spacing w:line="252" w:lineRule="auto"/>
        <w:jc w:val="both"/>
        <w:rPr>
          <w:rFonts w:ascii="Helvetica 45 Light" w:eastAsiaTheme="minorHAnsi" w:hAnsi="Helvetica 45 Light" w:cs="Arial"/>
          <w:sz w:val="19"/>
          <w:szCs w:val="19"/>
        </w:rPr>
      </w:pPr>
      <w:r w:rsidRPr="00397BA0">
        <w:rPr>
          <w:rFonts w:ascii="Helvetica 45 Light" w:eastAsiaTheme="minorHAnsi" w:hAnsi="Helvetica 45 Light" w:cs="Arial"/>
          <w:sz w:val="19"/>
          <w:szCs w:val="19"/>
        </w:rPr>
        <w:t>Parmi les principaux objectifs de la Loi fédérale d’aménagement du territoire révisée figure, notamment, la volonté d’orienter le développement vers l’intérieur en maintenant un habitat de qualité, celle d’assurer une meilleure utilisation des zones à bâtir et, si nécessaire, de la redimensionner.</w:t>
      </w:r>
    </w:p>
    <w:p w14:paraId="62416599" w14:textId="77777777" w:rsidR="00397BA0" w:rsidRPr="00397BA0" w:rsidRDefault="00397BA0" w:rsidP="00397BA0">
      <w:pPr>
        <w:spacing w:line="252" w:lineRule="auto"/>
        <w:jc w:val="both"/>
        <w:rPr>
          <w:rFonts w:ascii="Helvetica 45 Light" w:eastAsiaTheme="minorHAnsi" w:hAnsi="Helvetica 45 Light" w:cs="Arial"/>
          <w:sz w:val="19"/>
          <w:szCs w:val="19"/>
        </w:rPr>
      </w:pPr>
    </w:p>
    <w:p w14:paraId="467E236C" w14:textId="77777777" w:rsidR="00397BA0" w:rsidRPr="00397BA0" w:rsidRDefault="00397BA0" w:rsidP="00397BA0">
      <w:pPr>
        <w:spacing w:line="252" w:lineRule="auto"/>
        <w:jc w:val="both"/>
        <w:rPr>
          <w:rFonts w:ascii="Helvetica 45 Light" w:eastAsiaTheme="minorHAnsi" w:hAnsi="Helvetica 45 Light" w:cs="Arial"/>
          <w:sz w:val="19"/>
          <w:szCs w:val="19"/>
        </w:rPr>
      </w:pPr>
      <w:r w:rsidRPr="00397BA0">
        <w:rPr>
          <w:rFonts w:ascii="Helvetica 45 Light" w:eastAsiaTheme="minorHAnsi" w:hAnsi="Helvetica 45 Light" w:cs="Arial"/>
          <w:sz w:val="19"/>
          <w:szCs w:val="19"/>
        </w:rPr>
        <w:t>Dans le cadre du Plan directeur cantonal, le périmètre d’urbanisation a été défini pour les 25 à 30 prochaines années. Cependant, seules les surfaces répondant aux besoins à 15 ans seront ouvertes à la construction. Les périmètres de 2</w:t>
      </w:r>
      <w:r w:rsidRPr="00397BA0">
        <w:rPr>
          <w:rFonts w:ascii="Helvetica 45 Light" w:eastAsiaTheme="minorHAnsi" w:hAnsi="Helvetica 45 Light" w:cs="Arial"/>
          <w:sz w:val="19"/>
          <w:szCs w:val="19"/>
          <w:vertAlign w:val="superscript"/>
        </w:rPr>
        <w:t>ème</w:t>
      </w:r>
      <w:r w:rsidRPr="00397BA0">
        <w:rPr>
          <w:rFonts w:ascii="Helvetica 45 Light" w:eastAsiaTheme="minorHAnsi" w:hAnsi="Helvetica 45 Light" w:cs="Arial"/>
          <w:sz w:val="19"/>
          <w:szCs w:val="19"/>
        </w:rPr>
        <w:t xml:space="preserve"> étape d’équipement (art. 14 al. 1bis, ter et quater LcAT) sont soumis à une interdiction de bâtir et constituent une mesure de « gel » des besoins à l’horizon 15-30 ans. </w:t>
      </w:r>
    </w:p>
    <w:p w14:paraId="49172650" w14:textId="77777777" w:rsidR="00397BA0" w:rsidRDefault="00397BA0" w:rsidP="00397BA0">
      <w:pPr>
        <w:spacing w:line="252" w:lineRule="auto"/>
        <w:jc w:val="both"/>
        <w:rPr>
          <w:rFonts w:ascii="Helvetica 45 Light" w:eastAsiaTheme="minorHAnsi" w:hAnsi="Helvetica 45 Light" w:cs="Arial"/>
          <w:sz w:val="19"/>
          <w:szCs w:val="19"/>
        </w:rPr>
      </w:pPr>
    </w:p>
    <w:p w14:paraId="07672E0F" w14:textId="2570EEEB" w:rsidR="000725C9" w:rsidRDefault="00397BA0" w:rsidP="00397BA0">
      <w:pPr>
        <w:spacing w:line="252" w:lineRule="auto"/>
        <w:jc w:val="both"/>
        <w:rPr>
          <w:rFonts w:ascii="Helvetica 45 Light" w:eastAsiaTheme="minorHAnsi" w:hAnsi="Helvetica 45 Light" w:cs="Arial"/>
          <w:sz w:val="19"/>
          <w:szCs w:val="19"/>
        </w:rPr>
      </w:pPr>
      <w:r w:rsidRPr="00397BA0">
        <w:rPr>
          <w:rFonts w:ascii="Helvetica 45 Light" w:eastAsiaTheme="minorHAnsi" w:hAnsi="Helvetica 45 Light" w:cs="Arial"/>
          <w:sz w:val="19"/>
          <w:szCs w:val="19"/>
        </w:rPr>
        <w:t>Pour les surfaces de 2</w:t>
      </w:r>
      <w:r w:rsidRPr="00397BA0">
        <w:rPr>
          <w:rFonts w:ascii="Helvetica 45 Light" w:eastAsiaTheme="minorHAnsi" w:hAnsi="Helvetica 45 Light" w:cs="Arial"/>
          <w:sz w:val="19"/>
          <w:szCs w:val="19"/>
          <w:vertAlign w:val="superscript"/>
        </w:rPr>
        <w:t>ème</w:t>
      </w:r>
      <w:r w:rsidRPr="00397BA0">
        <w:rPr>
          <w:rFonts w:ascii="Helvetica 45 Light" w:eastAsiaTheme="minorHAnsi" w:hAnsi="Helvetica 45 Light" w:cs="Arial"/>
          <w:sz w:val="19"/>
          <w:szCs w:val="19"/>
        </w:rPr>
        <w:t xml:space="preserve"> étape d’équipement, leur localisation est justifiée mais le besoin doit encore être démontré. Pour que ces surfaces, non ou partiellement équipées, deviennent constructibles une fois le besoin avéré, c’est la procédure d’homologation suivant les articles 33 </w:t>
      </w:r>
      <w:r w:rsidR="009A6DA4">
        <w:rPr>
          <w:rFonts w:ascii="Helvetica 45 Light" w:eastAsiaTheme="minorHAnsi" w:hAnsi="Helvetica 45 Light" w:cs="Arial"/>
          <w:sz w:val="19"/>
          <w:szCs w:val="19"/>
        </w:rPr>
        <w:t>ss</w:t>
      </w:r>
      <w:r w:rsidRPr="00397BA0">
        <w:rPr>
          <w:rFonts w:ascii="Helvetica 45 Light" w:eastAsiaTheme="minorHAnsi" w:hAnsi="Helvetica 45 Light" w:cs="Arial"/>
          <w:sz w:val="19"/>
          <w:szCs w:val="19"/>
        </w:rPr>
        <w:t xml:space="preserve"> LcAT qui doit être suivie.</w:t>
      </w:r>
    </w:p>
    <w:p w14:paraId="514DEA19" w14:textId="77777777" w:rsidR="00397BA0" w:rsidRDefault="00397BA0" w:rsidP="00397BA0">
      <w:pPr>
        <w:spacing w:line="252" w:lineRule="auto"/>
        <w:jc w:val="both"/>
        <w:rPr>
          <w:rFonts w:ascii="Helvetica 45 Light" w:eastAsiaTheme="minorHAnsi" w:hAnsi="Helvetica 45 Light" w:cs="Arial"/>
          <w:sz w:val="19"/>
          <w:szCs w:val="19"/>
        </w:rPr>
      </w:pPr>
    </w:p>
    <w:p w14:paraId="1D249DFA" w14:textId="7302F0CF" w:rsidR="00D146A0" w:rsidRPr="00397BA0" w:rsidRDefault="00894FF5" w:rsidP="00397BA0">
      <w:pPr>
        <w:spacing w:line="252" w:lineRule="auto"/>
        <w:jc w:val="both"/>
        <w:rPr>
          <w:rFonts w:ascii="Helvetica 45 Light" w:eastAsiaTheme="minorHAnsi" w:hAnsi="Helvetica 45 Light" w:cs="Arial"/>
          <w:sz w:val="19"/>
          <w:szCs w:val="19"/>
        </w:rPr>
      </w:pPr>
      <w:r w:rsidRPr="00DA6CF1">
        <w:rPr>
          <w:rFonts w:ascii="Helvetica 55 Roman" w:eastAsiaTheme="minorHAnsi" w:hAnsi="Helvetica 55 Roman" w:cs="Arial"/>
          <w:b/>
          <w:sz w:val="21"/>
          <w:szCs w:val="21"/>
        </w:rPr>
        <w:t>Proposition d’articles</w:t>
      </w:r>
      <w:r w:rsidR="007678EC" w:rsidRPr="00DA6CF1">
        <w:rPr>
          <w:rFonts w:ascii="Helvetica 55 Roman" w:eastAsiaTheme="minorHAnsi" w:hAnsi="Helvetica 55 Roman" w:cs="Arial"/>
          <w:b/>
          <w:sz w:val="21"/>
          <w:szCs w:val="21"/>
        </w:rPr>
        <w:t>-type</w:t>
      </w:r>
      <w:r w:rsidRPr="00DA6CF1">
        <w:rPr>
          <w:rFonts w:ascii="Helvetica 55 Roman" w:eastAsiaTheme="minorHAnsi" w:hAnsi="Helvetica 55 Roman" w:cs="Arial"/>
          <w:b/>
          <w:sz w:val="21"/>
          <w:szCs w:val="21"/>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37E1A098"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397BA0">
        <w:t>Périmètres de 2</w:t>
      </w:r>
      <w:r w:rsidR="00397BA0" w:rsidRPr="00397BA0">
        <w:rPr>
          <w:vertAlign w:val="superscript"/>
        </w:rPr>
        <w:t>ème</w:t>
      </w:r>
      <w:r w:rsidR="00397BA0">
        <w:t xml:space="preserve"> étape d’équipement </w:t>
      </w:r>
    </w:p>
    <w:p w14:paraId="555E8A33" w14:textId="20F10EB4" w:rsidR="00397BA0" w:rsidRDefault="00397BA0" w:rsidP="00397BA0">
      <w:pPr>
        <w:pStyle w:val="ArticleType1erNiveau"/>
      </w:pPr>
      <w:r>
        <w:t>Les périmètres de 2ème étape d’équipement définis sur le plan d’affectation des zones sont soumis à une interdiction de bâtir. Les articles dérogatoires (</w:t>
      </w:r>
      <w:r w:rsidR="00B702D8">
        <w:t xml:space="preserve">art. </w:t>
      </w:r>
      <w:r>
        <w:t>24</w:t>
      </w:r>
      <w:r w:rsidR="00B702D8">
        <w:t xml:space="preserve"> </w:t>
      </w:r>
      <w:r>
        <w:t>ss LAT) sont applicables pour toutes rénovations, transformations, agrandissements ou reconstructions de bâtiments existants.</w:t>
      </w:r>
    </w:p>
    <w:p w14:paraId="26E8A431" w14:textId="4E01497D" w:rsidR="00397BA0" w:rsidRDefault="00397BA0" w:rsidP="00397BA0">
      <w:pPr>
        <w:pStyle w:val="ArticleType1erNiveau"/>
      </w:pPr>
      <w:r>
        <w:t>La localisation de ces périmètres est démontrée, toutefois le besoin doit encore être reconnu.</w:t>
      </w:r>
    </w:p>
    <w:p w14:paraId="10BA034A" w14:textId="3F68FD2F" w:rsidR="009D3092" w:rsidRPr="009D3092" w:rsidRDefault="00397BA0" w:rsidP="00397BA0">
      <w:pPr>
        <w:pStyle w:val="ArticleType1erNiveau"/>
      </w:pPr>
      <w:r>
        <w:t>En cas de besoin avéré, le retour à la 1</w:t>
      </w:r>
      <w:r w:rsidRPr="00B702D8">
        <w:rPr>
          <w:vertAlign w:val="superscript"/>
        </w:rPr>
        <w:t>ère</w:t>
      </w:r>
      <w:r w:rsidR="00B702D8">
        <w:t xml:space="preserve"> </w:t>
      </w:r>
      <w:r>
        <w:t>étape d’équipement suivra la procédure d’</w:t>
      </w:r>
      <w:r w:rsidR="00B702D8">
        <w:t>homologation des articles 33 ss</w:t>
      </w:r>
      <w:r>
        <w:t xml:space="preserve"> LcAT</w:t>
      </w:r>
    </w:p>
    <w:p w14:paraId="1E78C713" w14:textId="2217196F" w:rsidR="009D3092" w:rsidRDefault="009D3092">
      <w:pPr>
        <w:rPr>
          <w:rFonts w:ascii="Helvetica 45 Light" w:hAnsi="Helvetica 45 Light" w:cs="Arial"/>
          <w:sz w:val="19"/>
          <w:szCs w:val="19"/>
        </w:rPr>
      </w:pPr>
    </w:p>
    <w:p w14:paraId="4C9930BE" w14:textId="77777777" w:rsidR="002212F3" w:rsidRDefault="002212F3" w:rsidP="002212F3">
      <w:pPr>
        <w:rPr>
          <w:rFonts w:ascii="Helvetica 45 Light" w:hAnsi="Helvetica 45 Light" w:cs="Arial"/>
          <w:sz w:val="19"/>
          <w:szCs w:val="19"/>
        </w:rPr>
      </w:pPr>
      <w:r>
        <w:rPr>
          <w:rFonts w:ascii="Helvetica 45 Light" w:hAnsi="Helvetica 45 Light" w:cs="Arial"/>
          <w:sz w:val="19"/>
          <w:szCs w:val="19"/>
        </w:rPr>
        <w:br w:type="page"/>
      </w:r>
    </w:p>
    <w:p w14:paraId="2BEFD991" w14:textId="77777777" w:rsidR="002212F3" w:rsidRPr="009F3C3B" w:rsidRDefault="002212F3" w:rsidP="002212F3">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2212F3" w:rsidRPr="009F3C3B" w14:paraId="61929F5A"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2B7A62C6" w14:textId="77777777" w:rsidR="002212F3" w:rsidRPr="009F3C3B" w:rsidRDefault="002212F3"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112C0A44" w14:textId="77777777" w:rsidR="002212F3" w:rsidRPr="009F3C3B" w:rsidRDefault="002212F3"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2212F3" w:rsidRPr="009F3C3B" w14:paraId="4AF10EA1"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50F838EE" w14:textId="77777777" w:rsidR="002212F3" w:rsidRPr="009F3C3B" w:rsidRDefault="002212F3"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5DACD841" w14:textId="77777777" w:rsidR="002212F3" w:rsidRPr="009F3C3B" w:rsidRDefault="002212F3"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3A1733" w:rsidRPr="009F3C3B" w14:paraId="7087FF8A"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489E14DD" w14:textId="4F2F853C" w:rsidR="003A1733" w:rsidRDefault="003A1733" w:rsidP="003A1733">
            <w:pPr>
              <w:keepNext/>
              <w:spacing w:before="60" w:after="60" w:line="360" w:lineRule="auto"/>
              <w:rPr>
                <w:rFonts w:ascii="Helvetica 45 Light" w:hAnsi="Helvetica 45 Light"/>
                <w:sz w:val="16"/>
                <w:szCs w:val="16"/>
              </w:rPr>
            </w:pPr>
            <w:r w:rsidRPr="003B3335">
              <w:rPr>
                <w:rFonts w:ascii="Helvetica 45 Light" w:hAnsi="Helvetica 45 Light"/>
                <w:sz w:val="16"/>
                <w:szCs w:val="16"/>
              </w:rPr>
              <w:t>Décembre 2022</w:t>
            </w:r>
          </w:p>
        </w:tc>
        <w:tc>
          <w:tcPr>
            <w:tcW w:w="6095" w:type="dxa"/>
          </w:tcPr>
          <w:p w14:paraId="73932F3C" w14:textId="6D174076" w:rsidR="003A1733" w:rsidRPr="009F3C3B" w:rsidRDefault="003A1733" w:rsidP="003A1733">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3B3335">
              <w:rPr>
                <w:rFonts w:ascii="Helvetica 45 Light" w:hAnsi="Helvetica 45 Light"/>
                <w:sz w:val="16"/>
                <w:szCs w:val="16"/>
              </w:rPr>
              <w:t>Corrections erreurs de composition typographique</w:t>
            </w:r>
          </w:p>
        </w:tc>
      </w:tr>
    </w:tbl>
    <w:p w14:paraId="0BF05758" w14:textId="77777777" w:rsidR="002212F3" w:rsidRPr="009F3C3B" w:rsidRDefault="002212F3" w:rsidP="002212F3">
      <w:pPr>
        <w:rPr>
          <w:rFonts w:ascii="Helvetica 45 Light" w:hAnsi="Helvetica 45 Light"/>
          <w:sz w:val="16"/>
          <w:szCs w:val="16"/>
        </w:rPr>
      </w:pPr>
    </w:p>
    <w:p w14:paraId="1E53936D" w14:textId="77777777" w:rsidR="002212F3" w:rsidRDefault="002212F3" w:rsidP="002212F3">
      <w:pPr>
        <w:rPr>
          <w:rFonts w:ascii="Helvetica 45 Light" w:hAnsi="Helvetica 45 Light" w:cs="Arial"/>
          <w:sz w:val="19"/>
          <w:szCs w:val="19"/>
        </w:rPr>
      </w:pPr>
    </w:p>
    <w:p w14:paraId="074B88E1" w14:textId="77777777" w:rsidR="002212F3" w:rsidRDefault="002212F3" w:rsidP="002212F3">
      <w:pPr>
        <w:rPr>
          <w:rFonts w:ascii="Helvetica 45 Light" w:hAnsi="Helvetica 45 Light" w:cs="Arial"/>
          <w:sz w:val="19"/>
          <w:szCs w:val="19"/>
        </w:rPr>
      </w:pPr>
    </w:p>
    <w:p w14:paraId="77CECFC4" w14:textId="77777777" w:rsidR="002212F3" w:rsidRDefault="002212F3" w:rsidP="002212F3">
      <w:pPr>
        <w:rPr>
          <w:rFonts w:ascii="Helvetica 45 Light" w:hAnsi="Helvetica 45 Light" w:cs="Arial"/>
          <w:sz w:val="19"/>
          <w:szCs w:val="19"/>
        </w:rPr>
      </w:pPr>
    </w:p>
    <w:p w14:paraId="6B377703" w14:textId="12D74AD2" w:rsidR="009D3092" w:rsidRDefault="009D3092">
      <w:pPr>
        <w:rPr>
          <w:rFonts w:ascii="Helvetica 45 Light" w:hAnsi="Helvetica 45 Light" w:cs="Arial"/>
          <w:sz w:val="19"/>
          <w:szCs w:val="19"/>
        </w:rPr>
      </w:pPr>
    </w:p>
    <w:sectPr w:rsidR="009D3092"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C531D" w14:textId="77777777" w:rsidR="00245BBF" w:rsidRDefault="00245BBF">
      <w:r>
        <w:separator/>
      </w:r>
    </w:p>
  </w:endnote>
  <w:endnote w:type="continuationSeparator" w:id="0">
    <w:p w14:paraId="40EFADB4" w14:textId="77777777" w:rsidR="00245BBF" w:rsidRDefault="0024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4DD9" w14:textId="77777777" w:rsidR="00350829" w:rsidRDefault="003508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8B45" w14:textId="77777777" w:rsidR="00350829" w:rsidRDefault="0035082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645C8F62"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50829">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50829">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492F" w14:textId="77777777" w:rsidR="00245BBF" w:rsidRDefault="00245BBF">
      <w:r>
        <w:separator/>
      </w:r>
    </w:p>
  </w:footnote>
  <w:footnote w:type="continuationSeparator" w:id="0">
    <w:p w14:paraId="0AC55F06" w14:textId="77777777" w:rsidR="00245BBF" w:rsidRDefault="0024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E89F" w14:textId="6B7486FA" w:rsidR="00350829" w:rsidRDefault="00350829">
    <w:pPr>
      <w:pStyle w:val="En-tte"/>
    </w:pPr>
    <w:r>
      <w:rPr>
        <w:noProof/>
      </w:rPr>
      <w:pict w14:anchorId="4C837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50860" o:spid="_x0000_s24578"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1D74" w14:textId="3691DC5E" w:rsidR="00350829" w:rsidRDefault="00350829">
    <w:pPr>
      <w:pStyle w:val="En-tte"/>
    </w:pPr>
    <w:r>
      <w:rPr>
        <w:noProof/>
      </w:rPr>
      <w:pict w14:anchorId="7B48E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50861" o:spid="_x0000_s24579"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BD1F" w14:textId="2DD702E5" w:rsidR="00502D37" w:rsidRDefault="00350829" w:rsidP="00502D37">
    <w:pPr>
      <w:pStyle w:val="ACEn-tte"/>
      <w:tabs>
        <w:tab w:val="left" w:pos="0"/>
      </w:tabs>
      <w:ind w:right="4280"/>
      <w:rPr>
        <w:sz w:val="14"/>
      </w:rPr>
    </w:pPr>
    <w:r>
      <w:rPr>
        <w:noProof/>
      </w:rPr>
      <w:pict w14:anchorId="1BE15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50859" o:spid="_x0000_s24577"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502D37">
      <w:rPr>
        <w:noProof/>
        <w:lang w:val="fr-CH" w:eastAsia="fr-CH"/>
      </w:rPr>
      <w:drawing>
        <wp:anchor distT="0" distB="0" distL="114300" distR="114300" simplePos="0" relativeHeight="251659264" behindDoc="0" locked="0" layoutInCell="1" allowOverlap="0" wp14:anchorId="6002B011" wp14:editId="1D1E3B24">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502D37">
      <w:rPr>
        <w:noProof/>
        <w:lang w:val="fr-CH" w:eastAsia="fr-CH"/>
      </w:rPr>
      <w:drawing>
        <wp:anchor distT="0" distB="0" distL="114300" distR="114300" simplePos="0" relativeHeight="251660288" behindDoc="0" locked="0" layoutInCell="1" allowOverlap="1" wp14:anchorId="62297209" wp14:editId="5328E7DB">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502D37">
      <w:rPr>
        <w:sz w:val="14"/>
      </w:rPr>
      <w:t>Département de la mobilité, du territoire et de l’environnement</w:t>
    </w:r>
  </w:p>
  <w:p w14:paraId="72F83596" w14:textId="77777777" w:rsidR="00502D37" w:rsidRDefault="00502D37" w:rsidP="00502D37">
    <w:pPr>
      <w:pStyle w:val="ACEn-tte"/>
      <w:tabs>
        <w:tab w:val="left" w:pos="0"/>
      </w:tabs>
      <w:spacing w:after="120"/>
      <w:ind w:right="5386"/>
      <w:rPr>
        <w:b/>
        <w:sz w:val="14"/>
        <w:lang w:val="de-CH"/>
      </w:rPr>
    </w:pPr>
    <w:r>
      <w:rPr>
        <w:b/>
        <w:sz w:val="14"/>
        <w:lang w:val="de-CH"/>
      </w:rPr>
      <w:t>Service du développement territorial</w:t>
    </w:r>
  </w:p>
  <w:p w14:paraId="372CA7D7" w14:textId="77777777" w:rsidR="00502D37" w:rsidRDefault="00502D37" w:rsidP="00502D37">
    <w:pPr>
      <w:pStyle w:val="ACEn-tte"/>
      <w:tabs>
        <w:tab w:val="left" w:pos="0"/>
      </w:tabs>
      <w:ind w:right="4280"/>
      <w:rPr>
        <w:sz w:val="14"/>
        <w:szCs w:val="16"/>
        <w:lang w:val="de-CH"/>
      </w:rPr>
    </w:pPr>
    <w:r>
      <w:rPr>
        <w:sz w:val="14"/>
        <w:szCs w:val="16"/>
        <w:lang w:val="de-CH"/>
      </w:rPr>
      <w:t xml:space="preserve">Departement für Mobilität, Raumentwicklung und Umwelt </w:t>
    </w:r>
  </w:p>
  <w:p w14:paraId="472FAFC2" w14:textId="77777777" w:rsidR="00502D37" w:rsidRDefault="00502D37" w:rsidP="00502D37">
    <w:pPr>
      <w:pStyle w:val="ACEn-tte"/>
      <w:tabs>
        <w:tab w:val="left" w:pos="0"/>
      </w:tabs>
      <w:ind w:right="5386"/>
      <w:rPr>
        <w:b/>
        <w:sz w:val="14"/>
        <w:lang w:val="de-CH"/>
      </w:rPr>
    </w:pPr>
    <w:r>
      <w:rPr>
        <w:b/>
        <w:sz w:val="14"/>
        <w:lang w:val="de-CH"/>
      </w:rPr>
      <w:t>Dienststelle für Raumentwicklung</w:t>
    </w:r>
  </w:p>
  <w:p w14:paraId="0B76785A" w14:textId="77777777" w:rsidR="00502D37" w:rsidRDefault="00502D37" w:rsidP="00502D37">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195F150D" w:rsidR="00633D3A" w:rsidRPr="00502D37" w:rsidRDefault="00502D37" w:rsidP="00502D37">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6B08B8C1" wp14:editId="4C7700B2">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734C579C" w:rsidR="00FC0003" w:rsidRDefault="00350829">
    <w:pPr>
      <w:pStyle w:val="En-tte"/>
    </w:pPr>
    <w:r>
      <w:rPr>
        <w:noProof/>
      </w:rPr>
      <w:pict w14:anchorId="235AF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50863" o:spid="_x0000_s24581"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57DDBA94" w:rsidR="009251C4" w:rsidRPr="00F23861" w:rsidRDefault="00350829" w:rsidP="009251C4">
    <w:pPr>
      <w:pStyle w:val="en-ttenomdoc"/>
      <w:jc w:val="right"/>
    </w:pPr>
    <w:r>
      <w:rPr>
        <w:noProof/>
      </w:rPr>
      <w:pict w14:anchorId="0DF70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50864" o:spid="_x0000_s24582"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397BA0">
      <w:t>Périmètres de 2</w:t>
    </w:r>
    <w:r w:rsidR="00397BA0" w:rsidRPr="00397BA0">
      <w:rPr>
        <w:vertAlign w:val="superscript"/>
      </w:rPr>
      <w:t>ème</w:t>
    </w:r>
    <w:r w:rsidR="00397BA0">
      <w:t xml:space="preserve"> étapes d’équipement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29277A52" w:rsidR="00FC0003" w:rsidRDefault="00350829">
    <w:pPr>
      <w:pStyle w:val="En-tte"/>
    </w:pPr>
    <w:r>
      <w:rPr>
        <w:noProof/>
      </w:rPr>
      <w:pict w14:anchorId="0E032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50862" o:spid="_x0000_s24580"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83"/>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773"/>
    <w:rsid w:val="000C58A2"/>
    <w:rsid w:val="000C65F3"/>
    <w:rsid w:val="000C6963"/>
    <w:rsid w:val="000E0FF6"/>
    <w:rsid w:val="000E11AC"/>
    <w:rsid w:val="000E701B"/>
    <w:rsid w:val="000E7388"/>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3306"/>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12F3"/>
    <w:rsid w:val="0022201E"/>
    <w:rsid w:val="00223B9B"/>
    <w:rsid w:val="002262D6"/>
    <w:rsid w:val="00233284"/>
    <w:rsid w:val="00235766"/>
    <w:rsid w:val="00245BBF"/>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9"/>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97BA0"/>
    <w:rsid w:val="003A1733"/>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02D37"/>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0AAF"/>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6DA4"/>
    <w:rsid w:val="009A7BBD"/>
    <w:rsid w:val="009B37F0"/>
    <w:rsid w:val="009B4D7E"/>
    <w:rsid w:val="009B4DCD"/>
    <w:rsid w:val="009B4EAE"/>
    <w:rsid w:val="009B5ED1"/>
    <w:rsid w:val="009C7E5E"/>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D7D7C"/>
    <w:rsid w:val="00AE2A35"/>
    <w:rsid w:val="00AE50EC"/>
    <w:rsid w:val="00AE79B5"/>
    <w:rsid w:val="00AF37F8"/>
    <w:rsid w:val="00B00059"/>
    <w:rsid w:val="00B00AE5"/>
    <w:rsid w:val="00B0288D"/>
    <w:rsid w:val="00B039A3"/>
    <w:rsid w:val="00B03C1E"/>
    <w:rsid w:val="00B05326"/>
    <w:rsid w:val="00B07350"/>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2D8"/>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B6C9A"/>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2212F3"/>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548">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45D7-77CB-4635-8B4F-940B867C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16</cp:revision>
  <cp:lastPrinted>2020-03-10T15:02:00Z</cp:lastPrinted>
  <dcterms:created xsi:type="dcterms:W3CDTF">2021-07-27T14:54:00Z</dcterms:created>
  <dcterms:modified xsi:type="dcterms:W3CDTF">2024-03-18T08:56:00Z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