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465C968A" w:rsidR="00790433" w:rsidRPr="00790433" w:rsidRDefault="00790433" w:rsidP="00FE610F">
      <w:pPr>
        <w:pStyle w:val="couverturetypedocument"/>
        <w:spacing w:line="276" w:lineRule="auto"/>
        <w:rPr>
          <w:sz w:val="30"/>
          <w:szCs w:val="30"/>
        </w:rPr>
      </w:pPr>
      <w:r w:rsidRPr="00DA148C">
        <w:rPr>
          <w:sz w:val="30"/>
          <w:szCs w:val="30"/>
        </w:rPr>
        <w:t>Article-type</w:t>
      </w:r>
    </w:p>
    <w:p w14:paraId="2F1AEC79" w14:textId="221C80BB" w:rsidR="006D7E18" w:rsidRPr="00FE610F" w:rsidRDefault="00F83F46" w:rsidP="00FE610F">
      <w:pPr>
        <w:pStyle w:val="couverturesous-titre"/>
        <w:spacing w:line="276" w:lineRule="auto"/>
        <w:rPr>
          <w:rFonts w:ascii="Helvetica 35 Thin" w:eastAsiaTheme="minorEastAsia" w:hAnsi="Helvetica 35 Thin" w:cstheme="minorBidi"/>
          <w:bCs w:val="0"/>
          <w:color w:val="FF0000"/>
          <w:sz w:val="36"/>
          <w:szCs w:val="36"/>
        </w:rPr>
      </w:pPr>
      <w:r w:rsidRPr="00F83F46">
        <w:rPr>
          <w:rFonts w:ascii="Helvetica 35 Thin" w:eastAsiaTheme="minorEastAsia" w:hAnsi="Helvetica 35 Thin" w:cstheme="minorBidi"/>
          <w:bCs w:val="0"/>
          <w:color w:val="FF0000"/>
          <w:sz w:val="36"/>
          <w:szCs w:val="36"/>
        </w:rPr>
        <w:t>Zone d’extraction et/ou de dépôt et/ou de valorisation de matériaux</w:t>
      </w:r>
    </w:p>
    <w:p w14:paraId="49EE4A37" w14:textId="366B0E9A" w:rsidR="006D7E18" w:rsidRDefault="00FE610F" w:rsidP="00FE610F">
      <w:pPr>
        <w:pStyle w:val="couverturesous-titre"/>
        <w:spacing w:line="276" w:lineRule="auto"/>
        <w:rPr>
          <w:rFonts w:ascii="Helvetica 45 Light" w:hAnsi="Helvetica 45 Light"/>
        </w:rPr>
      </w:pPr>
      <w:r w:rsidRPr="00FE610F">
        <w:rPr>
          <w:rFonts w:ascii="Helvetica 45 Light" w:hAnsi="Helvetica 45 Light"/>
        </w:rPr>
        <w:t>Décembre 2022 (version 1.1</w:t>
      </w:r>
      <w:r w:rsidR="006D7E18" w:rsidRPr="00FE610F">
        <w:rPr>
          <w:rFonts w:ascii="Helvetica 45 Light" w:hAnsi="Helvetica 45 Light"/>
        </w:rPr>
        <w:t>)</w:t>
      </w:r>
    </w:p>
    <w:p w14:paraId="274F655C" w14:textId="77777777" w:rsidR="00DA155A" w:rsidRDefault="00DA155A" w:rsidP="00C401FA">
      <w:pPr>
        <w:spacing w:after="120"/>
        <w:jc w:val="both"/>
        <w:rPr>
          <w:rFonts w:ascii="Helvetica 55 Roman" w:eastAsia="Times New Roman" w:hAnsi="Helvetica 55 Roman" w:cs="Arial"/>
          <w:b/>
          <w:sz w:val="21"/>
          <w:szCs w:val="21"/>
          <w:lang w:eastAsia="fr-FR"/>
        </w:rPr>
      </w:pPr>
    </w:p>
    <w:p w14:paraId="5142E0C9" w14:textId="04C3F4AE" w:rsidR="00416D08" w:rsidRDefault="00C401FA" w:rsidP="00F322D1">
      <w:pPr>
        <w:spacing w:after="30" w:line="252" w:lineRule="auto"/>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566E0DF8" w14:textId="376420A6" w:rsidR="009811CB" w:rsidRDefault="00F83F46" w:rsidP="004536C1">
      <w:pPr>
        <w:spacing w:afterLines="80" w:after="192" w:line="252" w:lineRule="auto"/>
        <w:jc w:val="both"/>
        <w:rPr>
          <w:rFonts w:ascii="Helvetica 45 Light" w:hAnsi="Helvetica 45 Light" w:cs="Arial"/>
          <w:sz w:val="19"/>
          <w:szCs w:val="19"/>
          <w:lang w:eastAsia="fr-FR"/>
        </w:rPr>
      </w:pPr>
      <w:r w:rsidRPr="00F83F46">
        <w:rPr>
          <w:rFonts w:ascii="Helvetica 45 Light" w:hAnsi="Helvetica 45 Light" w:cs="Arial"/>
          <w:sz w:val="19"/>
          <w:szCs w:val="19"/>
          <w:lang w:eastAsia="fr-FR"/>
        </w:rPr>
        <w:t>La zone d’extraction et de dépôt de matériaux est régie par l’article 26 LcAT et correspond à une « autre zone » au sens de l’article 18 LAT. Seuls des ouvrages déterminés liés aux activités conformes à l’affectation de la zone y sont admis. Une attention particulière est à apporter à l’intégration de ce type de zone dans le paysage et l’environnement. Les communes doivent, dans ce cadre, définir les prescriptions et fixer les conditions limitant leur atteinte (art. 26 al. 2 LcAT). Le caractère temporaire de ce type de zone engendre aussi la nécessité de garantir la remise en état du site.</w:t>
      </w:r>
    </w:p>
    <w:p w14:paraId="35BDB664" w14:textId="5E8423C8" w:rsidR="00F83F46" w:rsidRPr="00F83F46" w:rsidRDefault="00F83F46" w:rsidP="00F83F46">
      <w:pPr>
        <w:spacing w:afterLines="80" w:after="192" w:line="252" w:lineRule="auto"/>
        <w:jc w:val="both"/>
        <w:rPr>
          <w:rFonts w:ascii="Helvetica 45 Light" w:hAnsi="Helvetica 45 Light" w:cs="Arial"/>
          <w:sz w:val="19"/>
          <w:szCs w:val="19"/>
          <w:lang w:eastAsia="fr-FR"/>
        </w:rPr>
      </w:pPr>
      <w:r w:rsidRPr="00F83F46">
        <w:rPr>
          <w:rFonts w:ascii="Helvetica 45 Light" w:hAnsi="Helvetica 45 Light" w:cs="Arial"/>
          <w:sz w:val="19"/>
          <w:szCs w:val="19"/>
          <w:lang w:eastAsia="fr-FR"/>
        </w:rPr>
        <w:t>Au niveau communal ou intercommunal, les activités ou projets en lien avec les matériaux et qui ont des effets sur l’organisation du territoire sont de trois types :</w:t>
      </w:r>
    </w:p>
    <w:p w14:paraId="4A0AFA16" w14:textId="3F6F6EF6" w:rsidR="00F83F46" w:rsidRPr="00414079" w:rsidRDefault="00F83F46" w:rsidP="00FE610F">
      <w:pPr>
        <w:pStyle w:val="Paragraphedeliste"/>
        <w:numPr>
          <w:ilvl w:val="0"/>
          <w:numId w:val="18"/>
        </w:numPr>
        <w:spacing w:after="60"/>
        <w:contextualSpacing w:val="0"/>
        <w:jc w:val="both"/>
        <w:rPr>
          <w:rFonts w:ascii="Helvetica 45 Light" w:eastAsiaTheme="minorHAnsi" w:hAnsi="Helvetica 45 Light" w:cs="Arial"/>
          <w:sz w:val="19"/>
          <w:szCs w:val="19"/>
          <w:lang w:eastAsia="fr-FR"/>
        </w:rPr>
      </w:pPr>
      <w:r w:rsidRPr="00414079">
        <w:rPr>
          <w:rFonts w:ascii="Helvetica 45 Light" w:eastAsiaTheme="minorHAnsi" w:hAnsi="Helvetica 45 Light" w:cs="Arial"/>
          <w:sz w:val="19"/>
          <w:szCs w:val="19"/>
          <w:lang w:eastAsia="fr-FR"/>
        </w:rPr>
        <w:t>L’extraction de matériaux, y compris la valorisation de matériaux de type A dans le sens du comblement du site d’extraction.</w:t>
      </w:r>
    </w:p>
    <w:p w14:paraId="2228FD14" w14:textId="51830E60" w:rsidR="00F83F46" w:rsidRPr="00414079" w:rsidRDefault="00F83F46" w:rsidP="00FE610F">
      <w:pPr>
        <w:pStyle w:val="Paragraphedeliste"/>
        <w:numPr>
          <w:ilvl w:val="0"/>
          <w:numId w:val="18"/>
        </w:numPr>
        <w:spacing w:after="60"/>
        <w:contextualSpacing w:val="0"/>
        <w:jc w:val="both"/>
        <w:rPr>
          <w:rFonts w:ascii="Helvetica 45 Light" w:eastAsiaTheme="minorHAnsi" w:hAnsi="Helvetica 45 Light" w:cs="Arial"/>
          <w:sz w:val="19"/>
          <w:szCs w:val="19"/>
          <w:lang w:eastAsia="fr-FR"/>
        </w:rPr>
      </w:pPr>
      <w:r w:rsidRPr="00414079">
        <w:rPr>
          <w:rFonts w:ascii="Helvetica 45 Light" w:eastAsiaTheme="minorHAnsi" w:hAnsi="Helvetica 45 Light" w:cs="Arial"/>
          <w:sz w:val="19"/>
          <w:szCs w:val="19"/>
          <w:lang w:eastAsia="fr-FR"/>
        </w:rPr>
        <w:t>Le dépôt de matériaux dans une décharge de type A, B, C, D ou E (la définition des types de décharges est listée dans l’annexe 5 de l’OLED).</w:t>
      </w:r>
    </w:p>
    <w:p w14:paraId="4B3D0600" w14:textId="29C87844" w:rsidR="00414079" w:rsidRDefault="00F83F46" w:rsidP="00414079">
      <w:pPr>
        <w:pStyle w:val="Paragraphedeliste"/>
        <w:numPr>
          <w:ilvl w:val="0"/>
          <w:numId w:val="18"/>
        </w:numPr>
        <w:spacing w:after="60"/>
        <w:contextualSpacing w:val="0"/>
        <w:jc w:val="both"/>
        <w:rPr>
          <w:rFonts w:ascii="Helvetica 45 Light" w:hAnsi="Helvetica 45 Light" w:cs="Arial"/>
          <w:sz w:val="19"/>
          <w:szCs w:val="19"/>
          <w:lang w:eastAsia="fr-FR"/>
        </w:rPr>
      </w:pPr>
      <w:r w:rsidRPr="00414079">
        <w:rPr>
          <w:rFonts w:ascii="Helvetica 45 Light" w:eastAsiaTheme="minorHAnsi" w:hAnsi="Helvetica 45 Light" w:cs="Arial"/>
          <w:sz w:val="19"/>
          <w:szCs w:val="19"/>
          <w:lang w:eastAsia="fr-FR"/>
        </w:rPr>
        <w:t>La</w:t>
      </w:r>
      <w:r w:rsidRPr="00F83F46">
        <w:rPr>
          <w:rFonts w:ascii="Helvetica 45 Light" w:hAnsi="Helvetica 45 Light" w:cs="Arial"/>
          <w:sz w:val="19"/>
          <w:szCs w:val="19"/>
          <w:lang w:eastAsia="fr-FR"/>
        </w:rPr>
        <w:t xml:space="preserve"> valorisation de matériaux de types A ou B dans le sens de leur réintroduction après traitem</w:t>
      </w:r>
      <w:r>
        <w:rPr>
          <w:rFonts w:ascii="Helvetica 45 Light" w:hAnsi="Helvetica 45 Light" w:cs="Arial"/>
          <w:sz w:val="19"/>
          <w:szCs w:val="19"/>
          <w:lang w:eastAsia="fr-FR"/>
        </w:rPr>
        <w:t>ent dans le cycle des matières.</w:t>
      </w:r>
    </w:p>
    <w:p w14:paraId="0ABA9B21" w14:textId="77777777" w:rsidR="00FE610F" w:rsidRPr="00FE610F" w:rsidRDefault="00FE610F" w:rsidP="00FE610F">
      <w:pPr>
        <w:pStyle w:val="Paragraphedeliste"/>
        <w:spacing w:after="60"/>
        <w:contextualSpacing w:val="0"/>
        <w:jc w:val="both"/>
        <w:rPr>
          <w:rFonts w:ascii="Helvetica 45 Light" w:hAnsi="Helvetica 45 Light" w:cs="Arial"/>
          <w:sz w:val="19"/>
          <w:szCs w:val="19"/>
          <w:lang w:eastAsia="fr-FR"/>
        </w:rPr>
      </w:pPr>
    </w:p>
    <w:p w14:paraId="2C983A6C" w14:textId="4DE71AB9" w:rsidR="00F83F46" w:rsidRPr="00F83F46" w:rsidRDefault="00F83F46" w:rsidP="00F83F46">
      <w:pPr>
        <w:spacing w:afterLines="80" w:after="192" w:line="252" w:lineRule="auto"/>
        <w:jc w:val="both"/>
        <w:rPr>
          <w:rFonts w:ascii="Helvetica 45 Light" w:hAnsi="Helvetica 45 Light" w:cs="Arial"/>
          <w:sz w:val="19"/>
          <w:szCs w:val="19"/>
          <w:lang w:eastAsia="fr-FR"/>
        </w:rPr>
      </w:pPr>
      <w:r w:rsidRPr="00F83F46">
        <w:rPr>
          <w:rFonts w:ascii="Helvetica 45 Light" w:hAnsi="Helvetica 45 Light" w:cs="Arial"/>
          <w:b/>
          <w:sz w:val="19"/>
          <w:szCs w:val="19"/>
          <w:lang w:eastAsia="fr-FR"/>
        </w:rPr>
        <w:t>Ces trois formes d’activités sont regroupées dans l’article-type « Zone d’extraction et/ou de dépôt et/ou de valorisation de matériaux ».</w:t>
      </w:r>
      <w:r w:rsidRPr="00F83F46">
        <w:rPr>
          <w:rFonts w:ascii="Helvetica 45 Light" w:hAnsi="Helvetica 45 Light" w:cs="Arial"/>
          <w:sz w:val="19"/>
          <w:szCs w:val="19"/>
          <w:lang w:eastAsia="fr-FR"/>
        </w:rPr>
        <w:t xml:space="preserve"> Une zone d’extraction et/ou de dépôt et/ou de valorisation de matériaux qui englobe plusieurs activités est soumise à l’élaboration d’un plan d’aménagement détaillé (PAD). La remise en état doit être traitée au niveau de la planification, et pas uniquement au stade de l’autorisation de construire. Si aucun PAD n’est élaboré, l’article du RCCZ précisera les modalités de remise en état (modes, étapes et mesu</w:t>
      </w:r>
      <w:r>
        <w:rPr>
          <w:rFonts w:ascii="Helvetica 45 Light" w:hAnsi="Helvetica 45 Light" w:cs="Arial"/>
          <w:sz w:val="19"/>
          <w:szCs w:val="19"/>
          <w:lang w:eastAsia="fr-FR"/>
        </w:rPr>
        <w:t>res de remise en état du site).</w:t>
      </w:r>
    </w:p>
    <w:p w14:paraId="2D3AFB67" w14:textId="3AABC28F" w:rsidR="00AB450C" w:rsidRDefault="00F83F46" w:rsidP="00F83F46">
      <w:pPr>
        <w:spacing w:afterLines="80" w:after="192" w:line="252" w:lineRule="auto"/>
        <w:jc w:val="both"/>
        <w:rPr>
          <w:rFonts w:ascii="Helvetica 45 Light" w:hAnsi="Helvetica 45 Light" w:cs="Arial"/>
          <w:sz w:val="19"/>
          <w:szCs w:val="19"/>
          <w:lang w:eastAsia="fr-FR"/>
        </w:rPr>
      </w:pPr>
      <w:r w:rsidRPr="00F83F46">
        <w:rPr>
          <w:rFonts w:ascii="Helvetica 45 Light" w:hAnsi="Helvetica 45 Light" w:cs="Arial"/>
          <w:sz w:val="19"/>
          <w:szCs w:val="19"/>
          <w:lang w:eastAsia="fr-FR"/>
        </w:rPr>
        <w:t>Cette zone n’étant pas considérée comme une zone à bâtir (art. 15 LAT et 21 LcAT), elle ne nécessite pas de compensation. Une fois l’activité terminée, la surface sera réaffectée (p. ex. agriculture, nature). Pour les activités ou projets en lien avec les matériaux situés dans les zones à bâtir, il s’agira de se référer aux articles-types « zone industrielle » ou « zone artisanale ». Pour les déchetteries, il s’agira de se référer à l’article-type « zone de constructions et d’installations publiques ».</w:t>
      </w:r>
    </w:p>
    <w:p w14:paraId="63779886" w14:textId="52B936D5" w:rsidR="00E41DAA" w:rsidRDefault="002B38C2" w:rsidP="00E41DAA">
      <w:pPr>
        <w:spacing w:after="30" w:line="252" w:lineRule="auto"/>
        <w:jc w:val="both"/>
        <w:rPr>
          <w:rFonts w:ascii="Helvetica 55 Roman" w:hAnsi="Helvetica 55 Roman" w:cs="Arial"/>
          <w:b/>
          <w:sz w:val="21"/>
          <w:szCs w:val="21"/>
          <w:lang w:eastAsia="fr-FR"/>
        </w:rPr>
      </w:pPr>
      <w:r w:rsidRPr="00E41DAA">
        <w:rPr>
          <w:rFonts w:ascii="Helvetica 55 Roman" w:hAnsi="Helvetica 55 Roman" w:cs="Arial"/>
          <w:b/>
          <w:sz w:val="21"/>
          <w:szCs w:val="21"/>
          <w:lang w:eastAsia="fr-FR"/>
        </w:rPr>
        <w:t>Définitions</w:t>
      </w:r>
    </w:p>
    <w:p w14:paraId="2679688A" w14:textId="77777777" w:rsidR="00FE610F" w:rsidRPr="00FE610F" w:rsidRDefault="00FE610F" w:rsidP="00E41DAA">
      <w:pPr>
        <w:spacing w:after="30" w:line="252" w:lineRule="auto"/>
        <w:jc w:val="both"/>
        <w:rPr>
          <w:rFonts w:ascii="Helvetica 55 Roman" w:hAnsi="Helvetica 55 Roman" w:cs="Arial"/>
          <w:b/>
          <w:sz w:val="8"/>
          <w:szCs w:val="21"/>
          <w:lang w:eastAsia="fr-FR"/>
        </w:rPr>
      </w:pPr>
    </w:p>
    <w:p w14:paraId="35A245B1" w14:textId="2A8FC441"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 xml:space="preserve">Un </w:t>
      </w:r>
      <w:r w:rsidRPr="002B38C2">
        <w:rPr>
          <w:rFonts w:ascii="Helvetica 45 Light" w:hAnsi="Helvetica 45 Light" w:cs="Arial"/>
          <w:b/>
          <w:sz w:val="19"/>
          <w:szCs w:val="19"/>
          <w:lang w:eastAsia="fr-FR"/>
        </w:rPr>
        <w:t>comblement</w:t>
      </w:r>
      <w:r w:rsidRPr="002B38C2">
        <w:rPr>
          <w:rFonts w:ascii="Helvetica 45 Light" w:hAnsi="Helvetica 45 Light" w:cs="Arial"/>
          <w:sz w:val="19"/>
          <w:szCs w:val="19"/>
          <w:lang w:eastAsia="fr-FR"/>
        </w:rPr>
        <w:t xml:space="preserve"> est le remblai d’un site d’extraction de matériaux en vue d’une remise en état. Le comblement n’est pas considéré comme une décharge, mais comme une valorisation de </w:t>
      </w:r>
      <w:r>
        <w:rPr>
          <w:rFonts w:ascii="Helvetica 45 Light" w:hAnsi="Helvetica 45 Light" w:cs="Arial"/>
          <w:sz w:val="19"/>
          <w:szCs w:val="19"/>
          <w:lang w:eastAsia="fr-FR"/>
        </w:rPr>
        <w:t>matériaux (art. 3 let. g OLED).</w:t>
      </w:r>
    </w:p>
    <w:p w14:paraId="34ABA73E" w14:textId="374CDCE5"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 xml:space="preserve">Une </w:t>
      </w:r>
      <w:r w:rsidRPr="002B38C2">
        <w:rPr>
          <w:rFonts w:ascii="Helvetica 45 Light" w:hAnsi="Helvetica 45 Light" w:cs="Arial"/>
          <w:b/>
          <w:sz w:val="19"/>
          <w:szCs w:val="19"/>
          <w:lang w:eastAsia="fr-FR"/>
        </w:rPr>
        <w:t>décharge</w:t>
      </w:r>
      <w:r w:rsidRPr="002B38C2">
        <w:rPr>
          <w:rFonts w:ascii="Helvetica 45 Light" w:hAnsi="Helvetica 45 Light" w:cs="Arial"/>
          <w:sz w:val="19"/>
          <w:szCs w:val="19"/>
          <w:lang w:eastAsia="fr-FR"/>
        </w:rPr>
        <w:t xml:space="preserve"> est une installation d’élimination des déchets où ces derniers sont stockés définitivement et sous sur</w:t>
      </w:r>
      <w:r>
        <w:rPr>
          <w:rFonts w:ascii="Helvetica 45 Light" w:hAnsi="Helvetica 45 Light" w:cs="Arial"/>
          <w:sz w:val="19"/>
          <w:szCs w:val="19"/>
          <w:lang w:eastAsia="fr-FR"/>
        </w:rPr>
        <w:t>veillance (art. 3 let. k OLED).</w:t>
      </w:r>
    </w:p>
    <w:p w14:paraId="68EB1BD4" w14:textId="43CA56A8"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 xml:space="preserve">Les </w:t>
      </w:r>
      <w:r w:rsidRPr="002B38C2">
        <w:rPr>
          <w:rFonts w:ascii="Helvetica 45 Light" w:hAnsi="Helvetica 45 Light" w:cs="Arial"/>
          <w:b/>
          <w:sz w:val="19"/>
          <w:szCs w:val="19"/>
          <w:lang w:eastAsia="fr-FR"/>
        </w:rPr>
        <w:t>déchets de chantier</w:t>
      </w:r>
      <w:r w:rsidRPr="002B38C2">
        <w:rPr>
          <w:rFonts w:ascii="Helvetica 45 Light" w:hAnsi="Helvetica 45 Light" w:cs="Arial"/>
          <w:sz w:val="19"/>
          <w:szCs w:val="19"/>
          <w:lang w:eastAsia="fr-FR"/>
        </w:rPr>
        <w:t xml:space="preserve"> sont des déchets produits lors de la construction, de la transformation ou de la déconstruction d’installations fixes (art. 3 let. e OLED).</w:t>
      </w:r>
    </w:p>
    <w:p w14:paraId="330214DC" w14:textId="1E80A685"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lastRenderedPageBreak/>
        <w:t xml:space="preserve">Les </w:t>
      </w:r>
      <w:r w:rsidRPr="002B38C2">
        <w:rPr>
          <w:rFonts w:ascii="Helvetica 45 Light" w:hAnsi="Helvetica 45 Light" w:cs="Arial"/>
          <w:b/>
          <w:sz w:val="19"/>
          <w:szCs w:val="19"/>
          <w:lang w:eastAsia="fr-FR"/>
        </w:rPr>
        <w:t>déchets spéciaux</w:t>
      </w:r>
      <w:r w:rsidRPr="002B38C2">
        <w:rPr>
          <w:rFonts w:ascii="Helvetica 45 Light" w:hAnsi="Helvetica 45 Light" w:cs="Arial"/>
          <w:sz w:val="19"/>
          <w:szCs w:val="19"/>
          <w:lang w:eastAsia="fr-FR"/>
        </w:rPr>
        <w:t xml:space="preserve"> sont des déchets qui requièrent un ensemble de mesures techniques et organisationnelles particulières afin d’être éliminés de manière respectueuse de</w:t>
      </w:r>
      <w:r>
        <w:rPr>
          <w:rFonts w:ascii="Helvetica 45 Light" w:hAnsi="Helvetica 45 Light" w:cs="Arial"/>
          <w:sz w:val="19"/>
          <w:szCs w:val="19"/>
          <w:lang w:eastAsia="fr-FR"/>
        </w:rPr>
        <w:t xml:space="preserve"> l’environnement (art. 2 OMoD).</w:t>
      </w:r>
    </w:p>
    <w:p w14:paraId="4874546F" w14:textId="13E5D262"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 xml:space="preserve">Un </w:t>
      </w:r>
      <w:r w:rsidRPr="002B38C2">
        <w:rPr>
          <w:rFonts w:ascii="Helvetica 45 Light" w:hAnsi="Helvetica 45 Light" w:cs="Arial"/>
          <w:b/>
          <w:sz w:val="19"/>
          <w:szCs w:val="19"/>
          <w:lang w:eastAsia="fr-FR"/>
        </w:rPr>
        <w:t>dépôt</w:t>
      </w:r>
      <w:r w:rsidRPr="002B38C2">
        <w:rPr>
          <w:rFonts w:ascii="Helvetica 45 Light" w:hAnsi="Helvetica 45 Light" w:cs="Arial"/>
          <w:sz w:val="19"/>
          <w:szCs w:val="19"/>
          <w:lang w:eastAsia="fr-FR"/>
        </w:rPr>
        <w:t xml:space="preserve"> est un stockage (définitif ou p</w:t>
      </w:r>
      <w:r>
        <w:rPr>
          <w:rFonts w:ascii="Helvetica 45 Light" w:hAnsi="Helvetica 45 Light" w:cs="Arial"/>
          <w:sz w:val="19"/>
          <w:szCs w:val="19"/>
          <w:lang w:eastAsia="fr-FR"/>
        </w:rPr>
        <w:t>rovisoire) de déchets.</w:t>
      </w:r>
    </w:p>
    <w:p w14:paraId="48DB424A" w14:textId="252E9480"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 xml:space="preserve">Le </w:t>
      </w:r>
      <w:r w:rsidRPr="002B38C2">
        <w:rPr>
          <w:rFonts w:ascii="Helvetica 45 Light" w:hAnsi="Helvetica 45 Light" w:cs="Arial"/>
          <w:b/>
          <w:sz w:val="19"/>
          <w:szCs w:val="19"/>
          <w:lang w:eastAsia="fr-FR"/>
        </w:rPr>
        <w:t>recyclage</w:t>
      </w:r>
      <w:r w:rsidRPr="002B38C2">
        <w:rPr>
          <w:rFonts w:ascii="Helvetica 45 Light" w:hAnsi="Helvetica 45 Light" w:cs="Arial"/>
          <w:sz w:val="19"/>
          <w:szCs w:val="19"/>
          <w:lang w:eastAsia="fr-FR"/>
        </w:rPr>
        <w:t xml:space="preserve"> est une valorisation matière, qui est un mode de traitement des déchets consistant à tirer parti des caractéristiques matière des déchets. Le procédé consiste à collecter séparément certaines matières ou déchets ou à les trier ultérieurement, à les traiter et à les réintroduire dans le circuit économique sous la forme de matières premières seconda</w:t>
      </w:r>
      <w:r>
        <w:rPr>
          <w:rFonts w:ascii="Helvetica 45 Light" w:hAnsi="Helvetica 45 Light" w:cs="Arial"/>
          <w:sz w:val="19"/>
          <w:szCs w:val="19"/>
          <w:lang w:eastAsia="fr-FR"/>
        </w:rPr>
        <w:t>ire ou de produits secondaires.</w:t>
      </w:r>
    </w:p>
    <w:p w14:paraId="518C9631" w14:textId="242C97AD"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 xml:space="preserve">La </w:t>
      </w:r>
      <w:r w:rsidRPr="002B38C2">
        <w:rPr>
          <w:rFonts w:ascii="Helvetica 45 Light" w:hAnsi="Helvetica 45 Light" w:cs="Arial"/>
          <w:b/>
          <w:sz w:val="19"/>
          <w:szCs w:val="19"/>
          <w:lang w:eastAsia="fr-FR"/>
        </w:rPr>
        <w:t>valorisation</w:t>
      </w:r>
      <w:r w:rsidRPr="002B38C2">
        <w:rPr>
          <w:rFonts w:ascii="Helvetica 45 Light" w:hAnsi="Helvetica 45 Light" w:cs="Arial"/>
          <w:sz w:val="19"/>
          <w:szCs w:val="19"/>
          <w:lang w:eastAsia="fr-FR"/>
        </w:rPr>
        <w:t xml:space="preserve"> matière ou énergétique implique l’utilisation de déchets en remplacement de sources d’énergie traditionnelles pour produire de </w:t>
      </w:r>
      <w:r>
        <w:rPr>
          <w:rFonts w:ascii="Helvetica 45 Light" w:hAnsi="Helvetica 45 Light" w:cs="Arial"/>
          <w:sz w:val="19"/>
          <w:szCs w:val="19"/>
          <w:lang w:eastAsia="fr-FR"/>
        </w:rPr>
        <w:t>l’électricité et de la chaleur.</w:t>
      </w:r>
    </w:p>
    <w:p w14:paraId="6B8C68AC" w14:textId="192CD780" w:rsidR="00E41DAA" w:rsidRDefault="002B38C2" w:rsidP="00E41DAA">
      <w:pPr>
        <w:spacing w:after="30" w:line="252" w:lineRule="auto"/>
        <w:jc w:val="both"/>
        <w:rPr>
          <w:rFonts w:ascii="Helvetica 55 Roman" w:hAnsi="Helvetica 55 Roman" w:cs="Arial"/>
          <w:b/>
          <w:sz w:val="21"/>
          <w:szCs w:val="21"/>
          <w:lang w:eastAsia="fr-FR"/>
        </w:rPr>
      </w:pPr>
      <w:r w:rsidRPr="00E41DAA">
        <w:rPr>
          <w:rFonts w:ascii="Helvetica 55 Roman" w:hAnsi="Helvetica 55 Roman" w:cs="Arial"/>
          <w:b/>
          <w:sz w:val="21"/>
          <w:szCs w:val="21"/>
          <w:lang w:eastAsia="fr-FR"/>
        </w:rPr>
        <w:t>Extraction de matériaux</w:t>
      </w:r>
    </w:p>
    <w:p w14:paraId="6853F854" w14:textId="77777777" w:rsidR="00FE610F" w:rsidRPr="00FE610F" w:rsidRDefault="00FE610F" w:rsidP="00E41DAA">
      <w:pPr>
        <w:spacing w:after="30" w:line="252" w:lineRule="auto"/>
        <w:jc w:val="both"/>
        <w:rPr>
          <w:rFonts w:ascii="Helvetica 55 Roman" w:hAnsi="Helvetica 55 Roman" w:cs="Arial"/>
          <w:b/>
          <w:sz w:val="8"/>
          <w:szCs w:val="21"/>
          <w:lang w:eastAsia="fr-FR"/>
        </w:rPr>
      </w:pPr>
    </w:p>
    <w:p w14:paraId="4E524D03" w14:textId="138C9935"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L’un des objectifs cantonaux est d’assurer un approvisionnement à long terme en matières premières, en régularisant et pérennisant les sites existants, ainsi qu’en offrant la possibilité d’exploiter de nouveaux sites d’extra</w:t>
      </w:r>
      <w:r>
        <w:rPr>
          <w:rFonts w:ascii="Helvetica 45 Light" w:hAnsi="Helvetica 45 Light" w:cs="Arial"/>
          <w:sz w:val="19"/>
          <w:szCs w:val="19"/>
          <w:lang w:eastAsia="fr-FR"/>
        </w:rPr>
        <w:t>ction, si le besoin est prouvé.</w:t>
      </w:r>
    </w:p>
    <w:p w14:paraId="1ADBE31F" w14:textId="44BBCD66"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Un site d’extraction de matériaux se compose de terrains affectés à l’extraction et au traitement des matériaux, ainsi qu’au comblement avec des ma</w:t>
      </w:r>
      <w:r>
        <w:rPr>
          <w:rFonts w:ascii="Helvetica 45 Light" w:hAnsi="Helvetica 45 Light" w:cs="Arial"/>
          <w:sz w:val="19"/>
          <w:szCs w:val="19"/>
          <w:lang w:eastAsia="fr-FR"/>
        </w:rPr>
        <w:t>tériaux de type A.</w:t>
      </w:r>
    </w:p>
    <w:p w14:paraId="4F3246C7" w14:textId="6A3BCE15"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Comme mentionné dans la fiche E.8 « Approvisionnement en matériaux pierreux et terreux » du plan directeur cantonal, un PAD est à établir pour toute nouvelle exploitation possédant un volume global de matériaux supérieur à 300'000 m3 ou ayant des effets importants sur l’organisation du territoire. L’objectif principal de ce PAD est de préciser les mesures particulières d'aménagement, comme les différentes étapes d’extracti</w:t>
      </w:r>
      <w:r>
        <w:rPr>
          <w:rFonts w:ascii="Helvetica 45 Light" w:hAnsi="Helvetica 45 Light" w:cs="Arial"/>
          <w:sz w:val="19"/>
          <w:szCs w:val="19"/>
          <w:lang w:eastAsia="fr-FR"/>
        </w:rPr>
        <w:t>on et de réaménagement du site.</w:t>
      </w:r>
    </w:p>
    <w:p w14:paraId="310DFDD6" w14:textId="0FCAA70F" w:rsidR="00E41DAA" w:rsidRDefault="002B38C2" w:rsidP="00E41DAA">
      <w:pPr>
        <w:spacing w:after="30" w:line="252" w:lineRule="auto"/>
        <w:jc w:val="both"/>
        <w:rPr>
          <w:rFonts w:ascii="Helvetica 55 Roman" w:hAnsi="Helvetica 55 Roman" w:cs="Arial"/>
          <w:b/>
          <w:sz w:val="21"/>
          <w:szCs w:val="21"/>
          <w:lang w:eastAsia="fr-FR"/>
        </w:rPr>
      </w:pPr>
      <w:r w:rsidRPr="00E41DAA">
        <w:rPr>
          <w:rFonts w:ascii="Helvetica 55 Roman" w:hAnsi="Helvetica 55 Roman" w:cs="Arial"/>
          <w:b/>
          <w:sz w:val="21"/>
          <w:szCs w:val="21"/>
          <w:lang w:eastAsia="fr-FR"/>
        </w:rPr>
        <w:t>Dépôt et valorisation de matériaux</w:t>
      </w:r>
    </w:p>
    <w:p w14:paraId="6C77AF88" w14:textId="77777777" w:rsidR="00FE610F" w:rsidRPr="00FE610F" w:rsidRDefault="00FE610F" w:rsidP="00E41DAA">
      <w:pPr>
        <w:spacing w:after="30" w:line="252" w:lineRule="auto"/>
        <w:jc w:val="both"/>
        <w:rPr>
          <w:rFonts w:ascii="Helvetica 55 Roman" w:hAnsi="Helvetica 55 Roman" w:cs="Arial"/>
          <w:b/>
          <w:sz w:val="8"/>
          <w:szCs w:val="21"/>
          <w:lang w:eastAsia="fr-FR"/>
        </w:rPr>
      </w:pPr>
    </w:p>
    <w:p w14:paraId="56BA6E71" w14:textId="77777777"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La stratégie cantonale en matière de gestion des matériaux favorise leur recyclage et prévoit de ne déposer en décharge que les matériaux dont la valorisation ne se révèle pas écologiquement ou économiquement supportable. Les déchets non adaptés à une valorisation matière ou énergétique doivent ainsi être stockés, après un traitement adapté, dans des décharges conformes aux bases légales en vigueur. Le stockage des déchets est soumis en particulier aux exigences de l’OLED, selon laquelle cinq types de décharges (décharge de type X dans l’article-type) existent en Suisse :</w:t>
      </w:r>
    </w:p>
    <w:p w14:paraId="492BD046" w14:textId="0D74926D" w:rsidR="002B38C2" w:rsidRPr="00414079" w:rsidRDefault="002B38C2" w:rsidP="00414079">
      <w:pPr>
        <w:pStyle w:val="Paragraphedeliste"/>
        <w:numPr>
          <w:ilvl w:val="0"/>
          <w:numId w:val="11"/>
        </w:numPr>
        <w:spacing w:after="60"/>
        <w:contextualSpacing w:val="0"/>
        <w:jc w:val="both"/>
        <w:rPr>
          <w:rFonts w:ascii="Helvetica 45 Light" w:eastAsiaTheme="minorHAnsi" w:hAnsi="Helvetica 45 Light" w:cs="Arial"/>
          <w:sz w:val="19"/>
          <w:szCs w:val="19"/>
          <w:lang w:eastAsia="fr-FR"/>
        </w:rPr>
      </w:pPr>
      <w:r w:rsidRPr="00414079">
        <w:rPr>
          <w:rFonts w:ascii="Helvetica 45 Light" w:eastAsiaTheme="minorHAnsi" w:hAnsi="Helvetica 45 Light" w:cs="Arial"/>
          <w:sz w:val="19"/>
          <w:szCs w:val="19"/>
          <w:lang w:eastAsia="fr-FR"/>
        </w:rPr>
        <w:t xml:space="preserve">Les décharges de </w:t>
      </w:r>
      <w:r w:rsidRPr="00414079">
        <w:rPr>
          <w:rFonts w:ascii="Helvetica 45 Light" w:eastAsiaTheme="minorHAnsi" w:hAnsi="Helvetica 45 Light" w:cs="Arial"/>
          <w:b/>
          <w:sz w:val="19"/>
          <w:szCs w:val="19"/>
          <w:lang w:eastAsia="fr-FR"/>
        </w:rPr>
        <w:t>type A</w:t>
      </w:r>
      <w:r w:rsidRPr="00414079">
        <w:rPr>
          <w:rFonts w:ascii="Helvetica 45 Light" w:eastAsiaTheme="minorHAnsi" w:hAnsi="Helvetica 45 Light" w:cs="Arial"/>
          <w:sz w:val="19"/>
          <w:szCs w:val="19"/>
          <w:lang w:eastAsia="fr-FR"/>
        </w:rPr>
        <w:t xml:space="preserve"> accueillent principalement des matériaux d’excavation, de percement ou terreux non pollués.</w:t>
      </w:r>
    </w:p>
    <w:p w14:paraId="30E1E47F" w14:textId="591B5840" w:rsidR="002B38C2" w:rsidRPr="00414079" w:rsidRDefault="002B38C2" w:rsidP="00414079">
      <w:pPr>
        <w:pStyle w:val="Paragraphedeliste"/>
        <w:numPr>
          <w:ilvl w:val="0"/>
          <w:numId w:val="11"/>
        </w:numPr>
        <w:spacing w:after="60"/>
        <w:contextualSpacing w:val="0"/>
        <w:jc w:val="both"/>
        <w:rPr>
          <w:rFonts w:ascii="Helvetica 45 Light" w:eastAsiaTheme="minorHAnsi" w:hAnsi="Helvetica 45 Light" w:cs="Arial"/>
          <w:sz w:val="19"/>
          <w:szCs w:val="19"/>
          <w:lang w:eastAsia="fr-FR"/>
        </w:rPr>
      </w:pPr>
      <w:r w:rsidRPr="00414079">
        <w:rPr>
          <w:rFonts w:ascii="Helvetica 45 Light" w:eastAsiaTheme="minorHAnsi" w:hAnsi="Helvetica 45 Light" w:cs="Arial"/>
          <w:sz w:val="19"/>
          <w:szCs w:val="19"/>
          <w:lang w:eastAsia="fr-FR"/>
        </w:rPr>
        <w:t xml:space="preserve">Les décharges de </w:t>
      </w:r>
      <w:r w:rsidRPr="00414079">
        <w:rPr>
          <w:rFonts w:ascii="Helvetica 45 Light" w:eastAsiaTheme="minorHAnsi" w:hAnsi="Helvetica 45 Light" w:cs="Arial"/>
          <w:b/>
          <w:sz w:val="19"/>
          <w:szCs w:val="19"/>
          <w:lang w:eastAsia="fr-FR"/>
        </w:rPr>
        <w:t>type B</w:t>
      </w:r>
      <w:r w:rsidRPr="00414079">
        <w:rPr>
          <w:rFonts w:ascii="Helvetica 45 Light" w:eastAsiaTheme="minorHAnsi" w:hAnsi="Helvetica 45 Light" w:cs="Arial"/>
          <w:sz w:val="19"/>
          <w:szCs w:val="19"/>
          <w:lang w:eastAsia="fr-FR"/>
        </w:rPr>
        <w:t xml:space="preserve"> accueillent pour l’essentiel des déchets de chantier minéraux et des matériaux d’excavation peu pollués.</w:t>
      </w:r>
    </w:p>
    <w:p w14:paraId="6507B885" w14:textId="23C890D5" w:rsidR="002B38C2" w:rsidRPr="00414079" w:rsidRDefault="002B38C2" w:rsidP="00414079">
      <w:pPr>
        <w:pStyle w:val="Paragraphedeliste"/>
        <w:numPr>
          <w:ilvl w:val="0"/>
          <w:numId w:val="11"/>
        </w:numPr>
        <w:spacing w:after="60"/>
        <w:contextualSpacing w:val="0"/>
        <w:jc w:val="both"/>
        <w:rPr>
          <w:rFonts w:ascii="Helvetica 45 Light" w:eastAsiaTheme="minorHAnsi" w:hAnsi="Helvetica 45 Light" w:cs="Arial"/>
          <w:sz w:val="19"/>
          <w:szCs w:val="19"/>
          <w:lang w:eastAsia="fr-FR"/>
        </w:rPr>
      </w:pPr>
      <w:r w:rsidRPr="00414079">
        <w:rPr>
          <w:rFonts w:ascii="Helvetica 45 Light" w:eastAsiaTheme="minorHAnsi" w:hAnsi="Helvetica 45 Light" w:cs="Arial"/>
          <w:sz w:val="19"/>
          <w:szCs w:val="19"/>
          <w:lang w:eastAsia="fr-FR"/>
        </w:rPr>
        <w:t xml:space="preserve">Les décharges de </w:t>
      </w:r>
      <w:r w:rsidRPr="00414079">
        <w:rPr>
          <w:rFonts w:ascii="Helvetica 45 Light" w:eastAsiaTheme="minorHAnsi" w:hAnsi="Helvetica 45 Light" w:cs="Arial"/>
          <w:b/>
          <w:sz w:val="19"/>
          <w:szCs w:val="19"/>
          <w:lang w:eastAsia="fr-FR"/>
        </w:rPr>
        <w:t>type C</w:t>
      </w:r>
      <w:r w:rsidRPr="00414079">
        <w:rPr>
          <w:rFonts w:ascii="Helvetica 45 Light" w:eastAsiaTheme="minorHAnsi" w:hAnsi="Helvetica 45 Light" w:cs="Arial"/>
          <w:sz w:val="19"/>
          <w:szCs w:val="19"/>
          <w:lang w:eastAsia="fr-FR"/>
        </w:rPr>
        <w:t xml:space="preserve"> contiennent essentiellement les résidus de l’épuration des fumées issus de l'incinération des déchets.</w:t>
      </w:r>
    </w:p>
    <w:p w14:paraId="743EC518" w14:textId="65D6C958" w:rsidR="002B38C2" w:rsidRPr="002B38C2" w:rsidRDefault="002B38C2" w:rsidP="00414079">
      <w:pPr>
        <w:pStyle w:val="Paragraphedeliste"/>
        <w:numPr>
          <w:ilvl w:val="0"/>
          <w:numId w:val="11"/>
        </w:numPr>
        <w:spacing w:after="60"/>
        <w:contextualSpacing w:val="0"/>
        <w:jc w:val="both"/>
        <w:rPr>
          <w:rFonts w:ascii="Helvetica 45 Light" w:hAnsi="Helvetica 45 Light" w:cs="Arial"/>
          <w:sz w:val="19"/>
          <w:szCs w:val="19"/>
          <w:lang w:eastAsia="fr-FR"/>
        </w:rPr>
      </w:pPr>
      <w:r w:rsidRPr="00414079">
        <w:rPr>
          <w:rFonts w:ascii="Helvetica 45 Light" w:eastAsiaTheme="minorHAnsi" w:hAnsi="Helvetica 45 Light" w:cs="Arial"/>
          <w:sz w:val="19"/>
          <w:szCs w:val="19"/>
          <w:lang w:eastAsia="fr-FR"/>
        </w:rPr>
        <w:t xml:space="preserve">Les décharges de </w:t>
      </w:r>
      <w:r w:rsidRPr="00414079">
        <w:rPr>
          <w:rFonts w:ascii="Helvetica 45 Light" w:eastAsiaTheme="minorHAnsi" w:hAnsi="Helvetica 45 Light" w:cs="Arial"/>
          <w:b/>
          <w:sz w:val="19"/>
          <w:szCs w:val="19"/>
          <w:lang w:eastAsia="fr-FR"/>
        </w:rPr>
        <w:t>type D</w:t>
      </w:r>
      <w:r w:rsidRPr="00414079">
        <w:rPr>
          <w:rFonts w:ascii="Helvetica 45 Light" w:eastAsiaTheme="minorHAnsi" w:hAnsi="Helvetica 45 Light" w:cs="Arial"/>
          <w:sz w:val="19"/>
          <w:szCs w:val="19"/>
          <w:lang w:eastAsia="fr-FR"/>
        </w:rPr>
        <w:t xml:space="preserve"> accueillent principalement des mâchefers (résidus de l'incinération des</w:t>
      </w:r>
      <w:r w:rsidRPr="002B38C2">
        <w:rPr>
          <w:rFonts w:ascii="Helvetica 45 Light" w:hAnsi="Helvetica 45 Light" w:cs="Arial"/>
          <w:sz w:val="19"/>
          <w:szCs w:val="19"/>
          <w:lang w:eastAsia="fr-FR"/>
        </w:rPr>
        <w:t xml:space="preserve"> déchets).</w:t>
      </w:r>
    </w:p>
    <w:p w14:paraId="7AAFC073" w14:textId="37944CF3" w:rsidR="002B38C2" w:rsidRDefault="002B38C2" w:rsidP="00414079">
      <w:pPr>
        <w:pStyle w:val="Paragraphedeliste"/>
        <w:numPr>
          <w:ilvl w:val="0"/>
          <w:numId w:val="11"/>
        </w:numPr>
        <w:spacing w:after="60"/>
        <w:contextualSpacing w:val="0"/>
        <w:jc w:val="both"/>
        <w:rPr>
          <w:rFonts w:ascii="Helvetica 45 Light" w:hAnsi="Helvetica 45 Light" w:cs="Arial"/>
          <w:sz w:val="19"/>
          <w:szCs w:val="19"/>
          <w:lang w:eastAsia="fr-FR"/>
        </w:rPr>
      </w:pPr>
      <w:r w:rsidRPr="00414079">
        <w:rPr>
          <w:rFonts w:ascii="Helvetica 45 Light" w:eastAsiaTheme="minorHAnsi" w:hAnsi="Helvetica 45 Light" w:cs="Arial"/>
          <w:sz w:val="19"/>
          <w:szCs w:val="19"/>
          <w:lang w:eastAsia="fr-FR"/>
        </w:rPr>
        <w:t xml:space="preserve">Les décharges de </w:t>
      </w:r>
      <w:r w:rsidRPr="00414079">
        <w:rPr>
          <w:rFonts w:ascii="Helvetica 45 Light" w:eastAsiaTheme="minorHAnsi" w:hAnsi="Helvetica 45 Light" w:cs="Arial"/>
          <w:b/>
          <w:sz w:val="19"/>
          <w:szCs w:val="19"/>
          <w:lang w:eastAsia="fr-FR"/>
        </w:rPr>
        <w:t>type E</w:t>
      </w:r>
      <w:r w:rsidRPr="00414079">
        <w:rPr>
          <w:rFonts w:ascii="Helvetica 45 Light" w:eastAsiaTheme="minorHAnsi" w:hAnsi="Helvetica 45 Light" w:cs="Arial"/>
          <w:sz w:val="19"/>
          <w:szCs w:val="19"/>
          <w:lang w:eastAsia="fr-FR"/>
        </w:rPr>
        <w:t xml:space="preserve"> acceptent essentiellement des déchets de chantier dont les</w:t>
      </w:r>
      <w:r w:rsidRPr="002B38C2">
        <w:rPr>
          <w:rFonts w:ascii="Helvetica 45 Light" w:hAnsi="Helvetica 45 Light" w:cs="Arial"/>
          <w:sz w:val="19"/>
          <w:szCs w:val="19"/>
          <w:lang w:eastAsia="fr-FR"/>
        </w:rPr>
        <w:t xml:space="preserve"> caractéristiques ne permettent pas un stockage en décharge de type B (p. ex. matériaux d’excavation fortement pollués i</w:t>
      </w:r>
      <w:r>
        <w:rPr>
          <w:rFonts w:ascii="Helvetica 45 Light" w:hAnsi="Helvetica 45 Light" w:cs="Arial"/>
          <w:sz w:val="19"/>
          <w:szCs w:val="19"/>
          <w:lang w:eastAsia="fr-FR"/>
        </w:rPr>
        <w:t>ssus de friches industrielles).</w:t>
      </w:r>
    </w:p>
    <w:p w14:paraId="4F58CA29" w14:textId="77777777" w:rsidR="00414079" w:rsidRPr="002B38C2" w:rsidRDefault="00414079" w:rsidP="00414079">
      <w:pPr>
        <w:pStyle w:val="Paragraphedeliste"/>
        <w:spacing w:after="60"/>
        <w:contextualSpacing w:val="0"/>
        <w:jc w:val="both"/>
        <w:rPr>
          <w:rFonts w:ascii="Helvetica 45 Light" w:hAnsi="Helvetica 45 Light" w:cs="Arial"/>
          <w:sz w:val="19"/>
          <w:szCs w:val="19"/>
          <w:lang w:eastAsia="fr-FR"/>
        </w:rPr>
      </w:pPr>
    </w:p>
    <w:p w14:paraId="09C91FCD" w14:textId="157B9030" w:rsidR="00414079"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Comme mentionné dans la fiche E.9 « Décharges » du plan directeur cantonal, un PAD est à établir pour toute décharge de type A ou B possédant un volume de décharge de plus de 500'000 m3 et ayant des effets importants sur l’organisation du territoire, ainsi que pour toute nouvelle décharge de type C, D ou E. L’objectif principal de ce PAD est de préciser les mesures particulières d'aménagement, comme les différentes étapes de constructi</w:t>
      </w:r>
      <w:r w:rsidR="00414079">
        <w:rPr>
          <w:rFonts w:ascii="Helvetica 45 Light" w:hAnsi="Helvetica 45 Light" w:cs="Arial"/>
          <w:sz w:val="19"/>
          <w:szCs w:val="19"/>
          <w:lang w:eastAsia="fr-FR"/>
        </w:rPr>
        <w:t>on et de réaménagement du site.</w:t>
      </w:r>
    </w:p>
    <w:p w14:paraId="6C6482DA" w14:textId="6C743D06"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Concernant la valorisation de déchets de types A et B dans le sens de leur réintroduction après traitement dans le cycle des matières (y compris tri, concassage et dépôt provisoire), de</w:t>
      </w:r>
      <w:r w:rsidR="00FF7DA8">
        <w:rPr>
          <w:rFonts w:ascii="Helvetica 45 Light" w:hAnsi="Helvetica 45 Light" w:cs="Arial"/>
          <w:sz w:val="19"/>
          <w:szCs w:val="19"/>
          <w:lang w:eastAsia="fr-FR"/>
        </w:rPr>
        <w:t>ux cas doivent être distingués :</w:t>
      </w:r>
    </w:p>
    <w:p w14:paraId="66FCE373" w14:textId="206390B2" w:rsidR="002B38C2" w:rsidRPr="002B38C2" w:rsidRDefault="002B38C2" w:rsidP="00414079">
      <w:pPr>
        <w:pStyle w:val="Paragraphedeliste"/>
        <w:numPr>
          <w:ilvl w:val="0"/>
          <w:numId w:val="11"/>
        </w:numPr>
        <w:spacing w:after="60"/>
        <w:contextualSpacing w:val="0"/>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lastRenderedPageBreak/>
        <w:t>La valorisation de déchets de type A peut se faire sur un site d’extraction ou une décharge de n’importe quel type. Ce type d’activité est réglé par une autorisation de construire et un règlement d’exploitation.</w:t>
      </w:r>
    </w:p>
    <w:p w14:paraId="0CC6EF8E" w14:textId="66E87E0D" w:rsidR="00414079" w:rsidRPr="00B95F94" w:rsidRDefault="002B38C2" w:rsidP="00B95F94">
      <w:pPr>
        <w:pStyle w:val="Paragraphedeliste"/>
        <w:numPr>
          <w:ilvl w:val="0"/>
          <w:numId w:val="11"/>
        </w:numPr>
        <w:spacing w:after="60"/>
        <w:contextualSpacing w:val="0"/>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La valorisation de déchets de type B, de type déchets de chantier minéraux, ne peut se faire que sur une décharge de type B, C, D ou E. Cette activité est soumise aux procédures des installations de valorisation de déchets minéraux (art. 40 LcPE).</w:t>
      </w:r>
    </w:p>
    <w:p w14:paraId="59B716AC" w14:textId="77777777"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Les activités décrites ci-dessus peuvent uniquement se développer pour la durée de l’exploitation de la décharge.</w:t>
      </w:r>
    </w:p>
    <w:p w14:paraId="3BCE1195" w14:textId="0CD59C8B" w:rsidR="002B38C2" w:rsidRPr="002B38C2" w:rsidRDefault="002B38C2" w:rsidP="002B38C2">
      <w:pPr>
        <w:spacing w:afterLines="80" w:after="192" w:line="252" w:lineRule="auto"/>
        <w:jc w:val="both"/>
        <w:rPr>
          <w:rFonts w:ascii="Helvetica 45 Light" w:hAnsi="Helvetica 45 Light" w:cs="Arial"/>
          <w:sz w:val="19"/>
          <w:szCs w:val="19"/>
          <w:lang w:eastAsia="fr-FR"/>
        </w:rPr>
      </w:pPr>
      <w:r w:rsidRPr="002B38C2">
        <w:rPr>
          <w:rFonts w:ascii="Helvetica 45 Light" w:hAnsi="Helvetica 45 Light" w:cs="Arial"/>
          <w:sz w:val="19"/>
          <w:szCs w:val="19"/>
          <w:lang w:eastAsia="fr-FR"/>
        </w:rPr>
        <w:t>En plus des principes et tâches exigées par la fiche E.9 précitée, la commune devra également se référer, pour le dépôt et la valorisation des matériaux, aux aides à l’exécution élaborées par le Service de l’environnement</w:t>
      </w:r>
      <w:r w:rsidR="007E0DA3">
        <w:rPr>
          <w:rFonts w:ascii="Helvetica 45 Light" w:hAnsi="Helvetica 45 Light" w:cs="Arial"/>
          <w:sz w:val="19"/>
          <w:szCs w:val="19"/>
          <w:lang w:eastAsia="fr-FR"/>
        </w:rPr>
        <w:t xml:space="preserve"> : </w:t>
      </w:r>
      <w:r w:rsidRPr="002B38C2">
        <w:rPr>
          <w:rFonts w:ascii="Helvetica 45 Light" w:hAnsi="Helvetica 45 Light" w:cs="Arial"/>
          <w:sz w:val="19"/>
          <w:szCs w:val="19"/>
          <w:lang w:eastAsia="fr-FR"/>
        </w:rPr>
        <w:t xml:space="preserve"> </w:t>
      </w:r>
    </w:p>
    <w:p w14:paraId="2B4297A3" w14:textId="5B3B9AF4" w:rsidR="00414079" w:rsidRPr="00414079" w:rsidRDefault="00414079" w:rsidP="00414079">
      <w:pPr>
        <w:pStyle w:val="Paragraphedeliste"/>
        <w:numPr>
          <w:ilvl w:val="0"/>
          <w:numId w:val="11"/>
        </w:numPr>
        <w:spacing w:after="60"/>
        <w:contextualSpacing w:val="0"/>
        <w:jc w:val="both"/>
        <w:rPr>
          <w:rFonts w:ascii="Helvetica 45 Light" w:eastAsiaTheme="minorHAnsi" w:hAnsi="Helvetica 45 Light" w:cs="Arial"/>
          <w:sz w:val="19"/>
          <w:szCs w:val="19"/>
        </w:rPr>
      </w:pPr>
      <w:r w:rsidRPr="00414079">
        <w:rPr>
          <w:rFonts w:ascii="Helvetica 45 Light" w:eastAsiaTheme="minorHAnsi" w:hAnsi="Helvetica 45 Light" w:cs="Arial"/>
          <w:sz w:val="19"/>
          <w:szCs w:val="19"/>
        </w:rPr>
        <w:t>Aménagement et exploitation des installations de valorisation de déchets minéraux (2021).</w:t>
      </w:r>
    </w:p>
    <w:p w14:paraId="34C00C2D" w14:textId="77777777" w:rsidR="00414079" w:rsidRPr="00414079" w:rsidRDefault="00414079" w:rsidP="00414079">
      <w:pPr>
        <w:pStyle w:val="Paragraphedeliste"/>
        <w:numPr>
          <w:ilvl w:val="0"/>
          <w:numId w:val="11"/>
        </w:numPr>
        <w:spacing w:after="60"/>
        <w:contextualSpacing w:val="0"/>
        <w:jc w:val="both"/>
        <w:rPr>
          <w:rFonts w:ascii="Helvetica 45 Light" w:eastAsiaTheme="minorHAnsi" w:hAnsi="Helvetica 45 Light" w:cs="Arial"/>
          <w:sz w:val="19"/>
          <w:szCs w:val="19"/>
        </w:rPr>
      </w:pPr>
      <w:r w:rsidRPr="00414079">
        <w:rPr>
          <w:rFonts w:ascii="Helvetica 45 Light" w:eastAsiaTheme="minorHAnsi" w:hAnsi="Helvetica 45 Light" w:cs="Arial"/>
          <w:sz w:val="19"/>
          <w:szCs w:val="19"/>
        </w:rPr>
        <w:t>Décharge de type A (2020).</w:t>
      </w:r>
    </w:p>
    <w:p w14:paraId="469FEA85" w14:textId="769D8957" w:rsidR="00414079" w:rsidRPr="00414079" w:rsidRDefault="00414079" w:rsidP="00414079">
      <w:pPr>
        <w:pStyle w:val="Paragraphedeliste"/>
        <w:numPr>
          <w:ilvl w:val="0"/>
          <w:numId w:val="11"/>
        </w:numPr>
        <w:spacing w:after="60"/>
        <w:contextualSpacing w:val="0"/>
        <w:jc w:val="both"/>
        <w:rPr>
          <w:rFonts w:ascii="Helvetica 45 Light" w:eastAsiaTheme="minorHAnsi" w:hAnsi="Helvetica 45 Light" w:cs="Arial"/>
          <w:sz w:val="19"/>
          <w:szCs w:val="19"/>
        </w:rPr>
      </w:pPr>
      <w:r w:rsidRPr="00414079">
        <w:rPr>
          <w:rFonts w:ascii="Helvetica 45 Light" w:eastAsiaTheme="minorHAnsi" w:hAnsi="Helvetica 45 Light" w:cs="Arial"/>
          <w:sz w:val="19"/>
          <w:szCs w:val="19"/>
        </w:rPr>
        <w:t>Décharge de type B (2020).</w:t>
      </w:r>
    </w:p>
    <w:p w14:paraId="14AACCF0" w14:textId="77777777" w:rsidR="00414079" w:rsidRPr="000C2E50" w:rsidRDefault="00414079" w:rsidP="00414079">
      <w:pPr>
        <w:pStyle w:val="Paragraphedeliste"/>
        <w:spacing w:after="60"/>
        <w:contextualSpacing w:val="0"/>
        <w:jc w:val="both"/>
        <w:rPr>
          <w:rFonts w:ascii="Arial" w:eastAsiaTheme="minorHAnsi" w:hAnsi="Arial" w:cs="Arial"/>
          <w:sz w:val="20"/>
          <w:szCs w:val="20"/>
        </w:rPr>
      </w:pPr>
    </w:p>
    <w:p w14:paraId="7A25B2DF" w14:textId="63695107" w:rsidR="00AB450C" w:rsidRDefault="00AB450C" w:rsidP="00416D08">
      <w:pPr>
        <w:spacing w:afterLines="80" w:after="192" w:line="252" w:lineRule="auto"/>
        <w:jc w:val="both"/>
        <w:rPr>
          <w:rFonts w:ascii="Helvetica 55 Roman" w:hAnsi="Helvetica 55 Roman" w:cs="Arial"/>
          <w:b/>
          <w:sz w:val="21"/>
          <w:szCs w:val="21"/>
          <w:lang w:eastAsia="fr-FR"/>
        </w:rPr>
      </w:pPr>
      <w:r w:rsidRPr="00AB450C">
        <w:rPr>
          <w:rFonts w:ascii="Helvetica 55 Roman" w:hAnsi="Helvetica 55 Roman" w:cs="Arial"/>
          <w:b/>
          <w:sz w:val="21"/>
          <w:szCs w:val="21"/>
          <w:lang w:eastAsia="fr-FR"/>
        </w:rPr>
        <w:t>Justification du besoin et de localisation</w:t>
      </w:r>
    </w:p>
    <w:p w14:paraId="4C506788" w14:textId="7BF8F532" w:rsidR="00D33A32" w:rsidRPr="00E41DAA" w:rsidRDefault="00414079" w:rsidP="00414079">
      <w:pPr>
        <w:spacing w:afterLines="80" w:after="192" w:line="252" w:lineRule="auto"/>
        <w:jc w:val="both"/>
        <w:rPr>
          <w:rFonts w:ascii="Helvetica 45 Light" w:hAnsi="Helvetica 45 Light" w:cs="Arial"/>
          <w:b/>
          <w:i/>
          <w:sz w:val="19"/>
          <w:szCs w:val="19"/>
          <w:lang w:eastAsia="fr-FR"/>
        </w:rPr>
      </w:pPr>
      <w:r w:rsidRPr="00E41DAA">
        <w:rPr>
          <w:rFonts w:ascii="Helvetica 45 Light" w:hAnsi="Helvetica 45 Light" w:cs="Arial"/>
          <w:b/>
          <w:i/>
          <w:sz w:val="19"/>
          <w:szCs w:val="19"/>
          <w:lang w:eastAsia="fr-FR"/>
        </w:rPr>
        <w:t>Extraction de matériaux</w:t>
      </w:r>
    </w:p>
    <w:p w14:paraId="7C40DB8A" w14:textId="1212CDC4" w:rsidR="00414079" w:rsidRPr="00414079" w:rsidRDefault="00414079" w:rsidP="00414079">
      <w:pPr>
        <w:spacing w:afterLines="80" w:after="192" w:line="252" w:lineRule="auto"/>
        <w:jc w:val="both"/>
        <w:rPr>
          <w:rFonts w:ascii="Helvetica 45 Light" w:hAnsi="Helvetica 45 Light" w:cs="Arial"/>
          <w:sz w:val="19"/>
          <w:szCs w:val="19"/>
          <w:lang w:eastAsia="fr-FR"/>
        </w:rPr>
      </w:pPr>
      <w:r w:rsidRPr="00414079">
        <w:rPr>
          <w:rFonts w:ascii="Helvetica 45 Light" w:hAnsi="Helvetica 45 Light" w:cs="Arial"/>
          <w:sz w:val="19"/>
          <w:szCs w:val="19"/>
          <w:lang w:eastAsia="fr-FR"/>
        </w:rPr>
        <w:t>Les matériaux pierreux et terreux dépendent des conditions géologiques locales. Ces gisements, composés de pierres, de graviers, de sables et de limons, sont une des rares ressources du sous-sol qui se trouvent en quantité suffisante dans notre canton. Ils sont essentiels au développement des infrastructures et doivent être utilisés à bon escient. L'approvisionnement en matériaux pierreux et terreux doit être garanti à long terme par le biais d'une gestion cohérente de ces ressources à l’échelon tant cantonal que communal. C’est dans ce contexte que les réflexions intercommunales pour l’extraction des matériaux sont fortement encouragées, et que les besoins liés à cette activité doivent être répondus à l’échelle régionale.</w:t>
      </w:r>
    </w:p>
    <w:p w14:paraId="49F052FE" w14:textId="646AE17E" w:rsidR="00414079" w:rsidRPr="00414079" w:rsidRDefault="00414079" w:rsidP="00414079">
      <w:pPr>
        <w:spacing w:afterLines="80" w:after="192" w:line="252" w:lineRule="auto"/>
        <w:jc w:val="both"/>
        <w:rPr>
          <w:rFonts w:ascii="Helvetica 45 Light" w:hAnsi="Helvetica 45 Light" w:cs="Arial"/>
          <w:sz w:val="19"/>
          <w:szCs w:val="19"/>
          <w:lang w:eastAsia="fr-FR"/>
        </w:rPr>
      </w:pPr>
      <w:r w:rsidRPr="00414079">
        <w:rPr>
          <w:rFonts w:ascii="Helvetica 45 Light" w:hAnsi="Helvetica 45 Light" w:cs="Arial"/>
          <w:sz w:val="19"/>
          <w:szCs w:val="19"/>
          <w:lang w:eastAsia="fr-FR"/>
        </w:rPr>
        <w:t>Par ailleurs, il est nécessaire d’intégrer les sites d’extraction de matériaux dans le paysage environnant de manière harmonieuse et dans un esprit d’amélioration écologique. Les projets de réaménagement de sites d'extraction de matériaux seront ainsi privilégiés. De même, comme indiqué dans les principes de planification de la fiche E.8 « Approvisionnement en matériaux pierreux et terreux » du plan directeur cantonal, l’extension des exploitations existantes est à prioriser. Les nouvelles exploitations, quant à elles, ne seront autorisées que si elles répondent à un besoin pour le moins régional en matériaux et sont inscrites dans le Plan cantonal des sites d’extraction de matériaux pierreux et terreux.</w:t>
      </w:r>
    </w:p>
    <w:p w14:paraId="242DDAC4" w14:textId="67392B9F" w:rsidR="00414079" w:rsidRPr="00414079" w:rsidRDefault="00414079" w:rsidP="00414079">
      <w:pPr>
        <w:spacing w:afterLines="80" w:after="192" w:line="252" w:lineRule="auto"/>
        <w:jc w:val="both"/>
        <w:rPr>
          <w:rFonts w:ascii="Helvetica 45 Light" w:hAnsi="Helvetica 45 Light" w:cs="Arial"/>
          <w:sz w:val="19"/>
          <w:szCs w:val="19"/>
          <w:lang w:eastAsia="fr-FR"/>
        </w:rPr>
      </w:pPr>
      <w:r w:rsidRPr="00414079">
        <w:rPr>
          <w:rFonts w:ascii="Helvetica 45 Light" w:hAnsi="Helvetica 45 Light" w:cs="Arial"/>
          <w:sz w:val="19"/>
          <w:szCs w:val="19"/>
          <w:lang w:eastAsia="fr-FR"/>
        </w:rPr>
        <w:t>Les autorisations concernant des nouvelles exploitations non répertoriés dans le Plan cantonal des sites d’extraction de matériaux pierreux et terreux pourront être délivrées de manière exceptionnelle, si une pesée des intérêts écologiques et économiques entre les diverses instances concernées</w:t>
      </w:r>
      <w:r w:rsidR="00416D08">
        <w:rPr>
          <w:rFonts w:ascii="Helvetica 45 Light" w:hAnsi="Helvetica 45 Light" w:cs="Arial"/>
          <w:sz w:val="19"/>
          <w:szCs w:val="19"/>
          <w:lang w:eastAsia="fr-FR"/>
        </w:rPr>
        <w:t xml:space="preserve"> permet de justifier le projet.</w:t>
      </w:r>
    </w:p>
    <w:p w14:paraId="21218C78" w14:textId="488C6270" w:rsidR="00414079" w:rsidRPr="00E41DAA" w:rsidRDefault="00414079" w:rsidP="00414079">
      <w:pPr>
        <w:spacing w:afterLines="80" w:after="192" w:line="252" w:lineRule="auto"/>
        <w:jc w:val="both"/>
        <w:rPr>
          <w:rFonts w:ascii="Helvetica 45 Light" w:hAnsi="Helvetica 45 Light" w:cs="Arial"/>
          <w:b/>
          <w:i/>
          <w:sz w:val="19"/>
          <w:szCs w:val="19"/>
          <w:lang w:eastAsia="fr-FR"/>
        </w:rPr>
      </w:pPr>
      <w:r w:rsidRPr="00E41DAA">
        <w:rPr>
          <w:rFonts w:ascii="Helvetica 45 Light" w:hAnsi="Helvetica 45 Light" w:cs="Arial"/>
          <w:b/>
          <w:i/>
          <w:sz w:val="19"/>
          <w:szCs w:val="19"/>
          <w:lang w:eastAsia="fr-FR"/>
        </w:rPr>
        <w:t>Dép</w:t>
      </w:r>
      <w:r w:rsidR="00416D08" w:rsidRPr="00E41DAA">
        <w:rPr>
          <w:rFonts w:ascii="Helvetica 45 Light" w:hAnsi="Helvetica 45 Light" w:cs="Arial"/>
          <w:b/>
          <w:i/>
          <w:sz w:val="19"/>
          <w:szCs w:val="19"/>
          <w:lang w:eastAsia="fr-FR"/>
        </w:rPr>
        <w:t>ôt et valorisation de matériaux</w:t>
      </w:r>
    </w:p>
    <w:p w14:paraId="0ACD262E" w14:textId="6EB4D5D1" w:rsidR="00414079" w:rsidRPr="00414079" w:rsidRDefault="00414079" w:rsidP="00414079">
      <w:pPr>
        <w:spacing w:afterLines="80" w:after="192" w:line="252" w:lineRule="auto"/>
        <w:jc w:val="both"/>
        <w:rPr>
          <w:rFonts w:ascii="Helvetica 45 Light" w:hAnsi="Helvetica 45 Light" w:cs="Arial"/>
          <w:sz w:val="19"/>
          <w:szCs w:val="19"/>
          <w:lang w:eastAsia="fr-FR"/>
        </w:rPr>
      </w:pPr>
      <w:r w:rsidRPr="00414079">
        <w:rPr>
          <w:rFonts w:ascii="Helvetica 45 Light" w:hAnsi="Helvetica 45 Light" w:cs="Arial"/>
          <w:sz w:val="19"/>
          <w:szCs w:val="19"/>
          <w:lang w:eastAsia="fr-FR"/>
        </w:rPr>
        <w:t xml:space="preserve">De par leur importance dans les procédés d’élimination des déchets, il est essentiel que la planification des décharges soit réfléchie pour garantir des capacités de stockage suffisantes et bien réparties sur le territoire cantonal. De même, la multiplication de petites installations de revalorisation (concassage, triage, lavage, dépôt temporaire) de matériaux ne répond pas aux objectifs cantonaux en matière de gestion des matériaux. C’est dans ce contexte que les réflexions intercommunales pour l’implantation des installations de dépôt et de valorisation des matériaux sont fortement encouragées, et que les besoins liés à cette valorisation doivent être </w:t>
      </w:r>
      <w:r w:rsidR="00416D08">
        <w:rPr>
          <w:rFonts w:ascii="Helvetica 45 Light" w:hAnsi="Helvetica 45 Light" w:cs="Arial"/>
          <w:sz w:val="19"/>
          <w:szCs w:val="19"/>
          <w:lang w:eastAsia="fr-FR"/>
        </w:rPr>
        <w:t>répondus à l’échelle régionale.</w:t>
      </w:r>
    </w:p>
    <w:p w14:paraId="24532C11" w14:textId="42E6E1C8" w:rsidR="00414079" w:rsidRPr="00414079" w:rsidRDefault="00414079" w:rsidP="00414079">
      <w:pPr>
        <w:spacing w:afterLines="80" w:after="192" w:line="252" w:lineRule="auto"/>
        <w:jc w:val="both"/>
        <w:rPr>
          <w:rFonts w:ascii="Helvetica 45 Light" w:hAnsi="Helvetica 45 Light" w:cs="Arial"/>
          <w:sz w:val="19"/>
          <w:szCs w:val="19"/>
          <w:lang w:eastAsia="fr-FR"/>
        </w:rPr>
      </w:pPr>
      <w:r w:rsidRPr="00414079">
        <w:rPr>
          <w:rFonts w:ascii="Helvetica 45 Light" w:hAnsi="Helvetica 45 Light" w:cs="Arial"/>
          <w:sz w:val="19"/>
          <w:szCs w:val="19"/>
          <w:lang w:eastAsia="fr-FR"/>
        </w:rPr>
        <w:t>Par ailleurs, il est nécessaire d’intégrer les décharges dans le paysage environnant de manière harmonieuse et dans un esprit d’amélioration écologique. Les installations permettant le réaménagement d'anciens sites d'extraction de matériaux seront ainsi privilégiées. De même, comme indiqué dans les principes de planification de la fiche E.9 « Décharges » du plan directeur cantonal, l’extension des sites existants est à prioriser. Les nouvelles décharges, quant à elles, ne seront autorisées, sauf exception, que si elles sont inscrites dans le Plan cantonal de gestion des décharges (PGD).</w:t>
      </w:r>
    </w:p>
    <w:p w14:paraId="6DC0F5F8" w14:textId="25CE5A60" w:rsidR="00D74113" w:rsidRDefault="00414079" w:rsidP="00414079">
      <w:pPr>
        <w:spacing w:afterLines="80" w:after="192" w:line="252" w:lineRule="auto"/>
        <w:jc w:val="both"/>
        <w:rPr>
          <w:rFonts w:ascii="Helvetica 45 Light" w:hAnsi="Helvetica 45 Light" w:cs="Arial"/>
          <w:sz w:val="19"/>
          <w:szCs w:val="19"/>
          <w:lang w:eastAsia="fr-FR"/>
        </w:rPr>
      </w:pPr>
      <w:r w:rsidRPr="00414079">
        <w:rPr>
          <w:rFonts w:ascii="Helvetica 45 Light" w:hAnsi="Helvetica 45 Light" w:cs="Arial"/>
          <w:sz w:val="19"/>
          <w:szCs w:val="19"/>
          <w:lang w:eastAsia="fr-FR"/>
        </w:rPr>
        <w:t xml:space="preserve">Les autorisations concernant des sites non répertoriés dans le PGD pourront être délivrées de manière exceptionnelle si une pesée des intérêts écologiques et économiques entre les diverses instances </w:t>
      </w:r>
      <w:r w:rsidRPr="00414079">
        <w:rPr>
          <w:rFonts w:ascii="Helvetica 45 Light" w:hAnsi="Helvetica 45 Light" w:cs="Arial"/>
          <w:sz w:val="19"/>
          <w:szCs w:val="19"/>
          <w:lang w:eastAsia="fr-FR"/>
        </w:rPr>
        <w:lastRenderedPageBreak/>
        <w:t>concernées permet de justifier le projet, étant donné que le PGD n’a pas permis d’identifier des sites dans certaines régions ayant un réel besoin.</w:t>
      </w:r>
      <w:r w:rsidR="00D74113">
        <w:rPr>
          <w:rFonts w:ascii="Helvetica 45 Light" w:hAnsi="Helvetica 45 Light" w:cs="Arial"/>
          <w:sz w:val="19"/>
          <w:szCs w:val="19"/>
          <w:lang w:eastAsia="fr-FR"/>
        </w:rPr>
        <w:br w:type="page"/>
      </w:r>
    </w:p>
    <w:p w14:paraId="5EC46D75" w14:textId="77777777" w:rsidR="00D74113" w:rsidRDefault="00D74113" w:rsidP="00B25DB7">
      <w:pPr>
        <w:pStyle w:val="ACCorps"/>
        <w:tabs>
          <w:tab w:val="left" w:pos="1134"/>
        </w:tabs>
        <w:spacing w:before="120" w:after="120"/>
        <w:ind w:left="1134" w:hanging="1134"/>
        <w:rPr>
          <w:rFonts w:ascii="Helvetica 55 Roman" w:hAnsi="Helvetica 55 Roman" w:cs="Arial"/>
          <w:b/>
          <w:sz w:val="21"/>
          <w:szCs w:val="21"/>
          <w:lang w:val="fr-CH"/>
        </w:rPr>
      </w:pPr>
    </w:p>
    <w:p w14:paraId="140F4914" w14:textId="6809E5DE" w:rsidR="00B25DB7" w:rsidRPr="00DA6CF1" w:rsidRDefault="00B25DB7" w:rsidP="00B25DB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hAnsi="Helvetica 55 Roman" w:cs="Arial"/>
          <w:b/>
          <w:sz w:val="21"/>
          <w:szCs w:val="21"/>
          <w:lang w:val="fr-CH"/>
        </w:rPr>
        <w:t>Proposition d’articles-type</w:t>
      </w:r>
      <w:r>
        <w:rPr>
          <w:rFonts w:ascii="Helvetica 55 Roman" w:hAnsi="Helvetica 55 Roman" w:cs="Arial"/>
          <w:b/>
          <w:sz w:val="21"/>
          <w:szCs w:val="21"/>
          <w:lang w:val="fr-CH"/>
        </w:rPr>
        <w:t xml:space="preserve"> (structure)</w:t>
      </w:r>
      <w:r w:rsidRPr="00DA6CF1">
        <w:rPr>
          <w:rFonts w:ascii="Helvetica 55 Roman" w:hAnsi="Helvetica 55 Roman" w:cs="Arial"/>
          <w:b/>
          <w:sz w:val="21"/>
          <w:szCs w:val="21"/>
          <w:lang w:val="fr-CH"/>
        </w:rPr>
        <w:t xml:space="preserve"> à intégrer au RCCZ</w:t>
      </w:r>
    </w:p>
    <w:p w14:paraId="29732FEA" w14:textId="77777777" w:rsidR="00B25DB7" w:rsidRPr="00A87BEA" w:rsidRDefault="00B25DB7" w:rsidP="00B25DB7">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r w:rsidRPr="00D56CD4">
        <w:rPr>
          <w:rFonts w:ascii="Helvetica 45 Light" w:hAnsi="Helvetica 45 Light"/>
          <w:i/>
          <w:sz w:val="19"/>
          <w:szCs w:val="19"/>
          <w:highlight w:val="green"/>
          <w:lang w:val="fr-CH"/>
        </w:rPr>
        <w:t>surlignage</w:t>
      </w:r>
      <w:r w:rsidRPr="00A87BEA">
        <w:rPr>
          <w:rFonts w:ascii="Helvetica 45 Light" w:hAnsi="Helvetica 45 Light"/>
          <w:i/>
          <w:sz w:val="19"/>
          <w:szCs w:val="19"/>
          <w:lang w:val="fr-CH"/>
        </w:rPr>
        <w:t xml:space="preserve"> = à adapter par la commune)</w:t>
      </w:r>
    </w:p>
    <w:p w14:paraId="0AA67AE6" w14:textId="736F6AF8" w:rsidR="00B25DB7" w:rsidRDefault="00B25DB7" w:rsidP="00AB450C">
      <w:pPr>
        <w:spacing w:afterLines="80" w:after="192" w:line="252" w:lineRule="auto"/>
        <w:jc w:val="both"/>
        <w:rPr>
          <w:rFonts w:ascii="Helvetica 45 Light" w:hAnsi="Helvetica 45 Light" w:cs="Arial"/>
          <w:sz w:val="19"/>
          <w:szCs w:val="19"/>
          <w:lang w:eastAsia="fr-FR"/>
        </w:rPr>
      </w:pPr>
    </w:p>
    <w:p w14:paraId="15E6796B" w14:textId="3301AC7B" w:rsidR="00BA32DE" w:rsidRDefault="00944225" w:rsidP="00A94453">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r w:rsidRPr="00FF7DA8">
        <w:rPr>
          <w:rStyle w:val="Accentuation"/>
          <w:rFonts w:ascii="Helvetica 55 Roman" w:hAnsi="Helvetica 55 Roman"/>
          <w:highlight w:val="green"/>
        </w:rPr>
        <w:t xml:space="preserve">Zone </w:t>
      </w:r>
      <w:r w:rsidR="00BA32DE" w:rsidRPr="00FF7DA8">
        <w:rPr>
          <w:rStyle w:val="Accentuation"/>
          <w:rFonts w:ascii="Helvetica 55 Roman" w:hAnsi="Helvetica 55 Roman"/>
          <w:highlight w:val="green"/>
        </w:rPr>
        <w:t>d’extraction et/ou de dépôt et/ou de valorisation de matériaux</w:t>
      </w:r>
    </w:p>
    <w:p w14:paraId="528A81A3" w14:textId="26BC4E7D" w:rsidR="00BA32DE" w:rsidRPr="00FE610F" w:rsidRDefault="00A94453" w:rsidP="00197A41">
      <w:pPr>
        <w:pStyle w:val="ArticleType1erNiveau"/>
        <w:numPr>
          <w:ilvl w:val="0"/>
          <w:numId w:val="15"/>
        </w:numPr>
        <w:spacing w:after="80" w:line="21" w:lineRule="atLeast"/>
        <w:rPr>
          <w:u w:val="single"/>
        </w:rPr>
      </w:pPr>
      <w:r w:rsidRPr="00FE610F">
        <w:rPr>
          <w:u w:val="single"/>
        </w:rPr>
        <w:t>Caractère et destination</w:t>
      </w:r>
    </w:p>
    <w:p w14:paraId="1C865305" w14:textId="4BF18D31" w:rsidR="00A94453" w:rsidRDefault="00A94453" w:rsidP="00A94453">
      <w:pPr>
        <w:pStyle w:val="ArticleType1erNiveau"/>
        <w:spacing w:after="80" w:line="21" w:lineRule="atLeast"/>
        <w:ind w:left="704"/>
      </w:pPr>
      <w:r>
        <w:t>La zone d’extraction de matériaux comprend les terrains affectés à l’extraction et au traitement des matériaux, ainsi qu’au comblement de matériaux de type A.</w:t>
      </w:r>
    </w:p>
    <w:p w14:paraId="6E57838F" w14:textId="78D23E2A" w:rsidR="00A94453" w:rsidRDefault="00A94453" w:rsidP="00A94453">
      <w:pPr>
        <w:pStyle w:val="ArticleType1erNiveau"/>
        <w:spacing w:after="80" w:line="21" w:lineRule="atLeast"/>
        <w:ind w:left="704"/>
      </w:pPr>
      <w:r>
        <w:t xml:space="preserve">La zone de dépôt de matériaux comprend les terrains affectés à l'aménagement d'une décharge de </w:t>
      </w:r>
      <w:r w:rsidRPr="00FF7DA8">
        <w:rPr>
          <w:highlight w:val="green"/>
        </w:rPr>
        <w:t>type X</w:t>
      </w:r>
      <w:r>
        <w:t>.</w:t>
      </w:r>
    </w:p>
    <w:p w14:paraId="4B6FE0D4" w14:textId="56DD30CF" w:rsidR="00A94453" w:rsidRPr="00A94453" w:rsidRDefault="00A94453" w:rsidP="00A94453">
      <w:pPr>
        <w:pStyle w:val="ArticleType1erNiveau"/>
        <w:spacing w:after="80" w:line="21" w:lineRule="atLeast"/>
        <w:ind w:left="704"/>
        <w:rPr>
          <w:rStyle w:val="Accentuation"/>
          <w:rFonts w:ascii="Helvetica 45 Light" w:hAnsi="Helvetica 45 Light"/>
          <w:iCs w:val="0"/>
        </w:rPr>
      </w:pPr>
      <w:r>
        <w:t>La zone de valorisation de matériaux comprend les terrains affectés à l'aménagement d'une décharge, combinée au traitement et recyclage de déchets de type A, ou à une installation de valorisation de déchets minéraux (p. ex. tri, concassage).</w:t>
      </w:r>
    </w:p>
    <w:p w14:paraId="595085E1" w14:textId="2022C67B" w:rsidR="00E2445F" w:rsidRPr="00FE610F" w:rsidRDefault="007A0AFB" w:rsidP="00197A41">
      <w:pPr>
        <w:pStyle w:val="ArticleType1erNiveau"/>
        <w:numPr>
          <w:ilvl w:val="0"/>
          <w:numId w:val="15"/>
        </w:numPr>
        <w:spacing w:after="80" w:line="21" w:lineRule="atLeast"/>
        <w:rPr>
          <w:u w:val="single"/>
        </w:rPr>
      </w:pPr>
      <w:r w:rsidRPr="00FE610F">
        <w:rPr>
          <w:u w:val="single"/>
        </w:rPr>
        <w:t>Prescriptions et conditions d’utilisation</w:t>
      </w:r>
    </w:p>
    <w:p w14:paraId="307E7664" w14:textId="7BF43BD4" w:rsidR="00594756" w:rsidRPr="001560CD" w:rsidRDefault="007A0AFB" w:rsidP="001560CD">
      <w:pPr>
        <w:pStyle w:val="Paragraphedeliste"/>
        <w:numPr>
          <w:ilvl w:val="0"/>
          <w:numId w:val="9"/>
        </w:numPr>
        <w:jc w:val="both"/>
        <w:rPr>
          <w:rFonts w:ascii="Helvetica 45 Light" w:hAnsi="Helvetica 45 Light"/>
          <w:sz w:val="19"/>
          <w:szCs w:val="19"/>
          <w:lang w:val="fr-FR" w:eastAsia="fr-FR"/>
        </w:rPr>
      </w:pPr>
      <w:r w:rsidRPr="001560CD">
        <w:rPr>
          <w:rFonts w:ascii="Helvetica 45 Light" w:hAnsi="Helvetica 45 Light"/>
          <w:sz w:val="19"/>
          <w:szCs w:val="19"/>
          <w:lang w:val="fr-FR" w:eastAsia="fr-FR"/>
        </w:rPr>
        <w:t>Aucune construction et installation allant à l’encontre de la destination de la zone prévue ne sera autorisée.</w:t>
      </w:r>
    </w:p>
    <w:p w14:paraId="7E90B3CA" w14:textId="0EADDA12" w:rsidR="00594756" w:rsidRPr="007A0AFB" w:rsidRDefault="007A0AFB" w:rsidP="005B6825">
      <w:pPr>
        <w:pStyle w:val="Paragraphedeliste"/>
        <w:numPr>
          <w:ilvl w:val="0"/>
          <w:numId w:val="9"/>
        </w:numPr>
        <w:jc w:val="both"/>
        <w:rPr>
          <w:rFonts w:ascii="Helvetica 45 Light" w:hAnsi="Helvetica 45 Light"/>
          <w:sz w:val="19"/>
          <w:szCs w:val="19"/>
          <w:lang w:val="fr-FR" w:eastAsia="fr-FR"/>
        </w:rPr>
      </w:pPr>
      <w:r w:rsidRPr="007A0AFB">
        <w:rPr>
          <w:rFonts w:ascii="Helvetica 45 Light" w:hAnsi="Helvetica 45 Light"/>
          <w:sz w:val="19"/>
          <w:szCs w:val="19"/>
          <w:lang w:val="fr-FR" w:eastAsia="fr-FR"/>
        </w:rPr>
        <w:t>Les conditions limitant l’atteinte au paysage et à l’environnement et garantissant leur remise en état seront fixées par l'autorité compétente.</w:t>
      </w:r>
    </w:p>
    <w:p w14:paraId="104E47F1" w14:textId="154BD2FD" w:rsidR="00594756" w:rsidRPr="007A0AFB" w:rsidRDefault="007A0AFB" w:rsidP="005B6825">
      <w:pPr>
        <w:pStyle w:val="Paragraphedeliste"/>
        <w:numPr>
          <w:ilvl w:val="0"/>
          <w:numId w:val="9"/>
        </w:numPr>
        <w:jc w:val="both"/>
        <w:rPr>
          <w:rFonts w:ascii="Helvetica 45 Light" w:hAnsi="Helvetica 45 Light"/>
          <w:sz w:val="19"/>
          <w:szCs w:val="19"/>
          <w:lang w:val="fr-FR" w:eastAsia="fr-FR"/>
        </w:rPr>
      </w:pPr>
      <w:r w:rsidRPr="007A0AFB">
        <w:rPr>
          <w:rFonts w:ascii="Helvetica 45 Light" w:hAnsi="Helvetica 45 Light"/>
          <w:sz w:val="19"/>
          <w:szCs w:val="19"/>
          <w:lang w:val="fr-FR" w:eastAsia="fr-FR"/>
        </w:rPr>
        <w:t xml:space="preserve">Les équipements et les constructions indispensables à l'exploitation </w:t>
      </w:r>
      <w:r w:rsidRPr="00FF7DA8">
        <w:rPr>
          <w:rFonts w:ascii="Helvetica 45 Light" w:hAnsi="Helvetica 45 Light"/>
          <w:sz w:val="19"/>
          <w:szCs w:val="19"/>
          <w:highlight w:val="green"/>
          <w:lang w:val="fr-FR" w:eastAsia="fr-FR"/>
        </w:rPr>
        <w:t>du site d’extraction / de la décharge de type X / de l’installation de valorisation de déchets minéraux ou de recyclage de déchets de type A</w:t>
      </w:r>
      <w:r w:rsidRPr="007A0AFB">
        <w:rPr>
          <w:rFonts w:ascii="Helvetica 45 Light" w:hAnsi="Helvetica 45 Light"/>
          <w:sz w:val="19"/>
          <w:szCs w:val="19"/>
          <w:lang w:val="fr-FR" w:eastAsia="fr-FR"/>
        </w:rPr>
        <w:t xml:space="preserve"> pourront y être autorisés pendant la durée d’exploitation des lieux.</w:t>
      </w:r>
    </w:p>
    <w:p w14:paraId="1DF143B2" w14:textId="73572BF5" w:rsidR="00E2445F" w:rsidRPr="00B95F94" w:rsidRDefault="007A0AFB" w:rsidP="005B6825">
      <w:pPr>
        <w:pStyle w:val="Paragraphedeliste"/>
        <w:numPr>
          <w:ilvl w:val="0"/>
          <w:numId w:val="9"/>
        </w:numPr>
        <w:jc w:val="both"/>
        <w:rPr>
          <w:rFonts w:ascii="Helvetica 45 Light" w:hAnsi="Helvetica 45 Light"/>
          <w:i/>
          <w:sz w:val="19"/>
          <w:szCs w:val="19"/>
          <w:lang w:val="fr-FR" w:eastAsia="fr-FR"/>
        </w:rPr>
      </w:pPr>
      <w:r w:rsidRPr="00B95F94">
        <w:rPr>
          <w:rFonts w:ascii="Helvetica 45 Light" w:hAnsi="Helvetica 45 Light"/>
          <w:i/>
          <w:sz w:val="19"/>
          <w:szCs w:val="19"/>
          <w:lang w:val="fr-FR" w:eastAsia="fr-FR"/>
        </w:rPr>
        <w:t>L’alinéa précisera la durée d’exploitation et les étapes y relatives.</w:t>
      </w:r>
      <w:r w:rsidR="00E2445F" w:rsidRPr="00B95F94">
        <w:rPr>
          <w:i/>
        </w:rPr>
        <w:tab/>
        <w:t xml:space="preserve"> </w:t>
      </w:r>
    </w:p>
    <w:p w14:paraId="2240C833" w14:textId="290CE947" w:rsidR="00B50742" w:rsidRPr="00FE610F" w:rsidRDefault="005B6825" w:rsidP="001560CD">
      <w:pPr>
        <w:pStyle w:val="ArticleType1erNiveau"/>
        <w:numPr>
          <w:ilvl w:val="0"/>
          <w:numId w:val="15"/>
        </w:numPr>
        <w:spacing w:after="80" w:line="21" w:lineRule="atLeast"/>
        <w:rPr>
          <w:u w:val="single"/>
        </w:rPr>
      </w:pPr>
      <w:r w:rsidRPr="00FE610F">
        <w:rPr>
          <w:u w:val="single"/>
        </w:rPr>
        <w:t>Autorisation de construire</w:t>
      </w:r>
    </w:p>
    <w:p w14:paraId="0A22A016" w14:textId="6CFE6C42" w:rsidR="005B6825" w:rsidRPr="008D3FF6" w:rsidRDefault="005B6825" w:rsidP="008D3FF6">
      <w:pPr>
        <w:pStyle w:val="Paragraphedeliste"/>
        <w:numPr>
          <w:ilvl w:val="0"/>
          <w:numId w:val="16"/>
        </w:numPr>
        <w:jc w:val="both"/>
        <w:rPr>
          <w:rFonts w:ascii="Helvetica 45 Light" w:hAnsi="Helvetica 45 Light"/>
          <w:sz w:val="19"/>
          <w:szCs w:val="19"/>
          <w:lang w:val="fr-FR" w:eastAsia="fr-FR"/>
        </w:rPr>
      </w:pPr>
      <w:r w:rsidRPr="008D3FF6">
        <w:rPr>
          <w:rFonts w:ascii="Helvetica 45 Light" w:hAnsi="Helvetica 45 Light"/>
          <w:sz w:val="19"/>
          <w:szCs w:val="19"/>
          <w:lang w:val="fr-FR" w:eastAsia="fr-FR"/>
        </w:rPr>
        <w:t xml:space="preserve">Une procédure d'autorisation de construire est nécessaire pour </w:t>
      </w:r>
      <w:r w:rsidRPr="00FF7DA8">
        <w:rPr>
          <w:rFonts w:ascii="Helvetica 45 Light" w:hAnsi="Helvetica 45 Light"/>
          <w:sz w:val="19"/>
          <w:szCs w:val="19"/>
          <w:highlight w:val="green"/>
          <w:lang w:val="fr-FR" w:eastAsia="fr-FR"/>
        </w:rPr>
        <w:t>l’extraction de matériaux / l’aménagement d’une décharge de type X / de l’installation de valorisation de déchets minéraux ou de recyclage de déchets de type A,</w:t>
      </w:r>
      <w:r w:rsidRPr="008D3FF6">
        <w:rPr>
          <w:rFonts w:ascii="Helvetica 45 Light" w:hAnsi="Helvetica 45 Light"/>
          <w:sz w:val="19"/>
          <w:szCs w:val="19"/>
          <w:lang w:val="fr-FR" w:eastAsia="fr-FR"/>
        </w:rPr>
        <w:t xml:space="preserve"> y compris les installations nécessaires, ainsi que pour son comblement / sa fermeture et la remise en état du site après exploitation.</w:t>
      </w:r>
    </w:p>
    <w:p w14:paraId="6D641E7E" w14:textId="77777777" w:rsidR="005B6825" w:rsidRPr="008D3FF6" w:rsidRDefault="005B6825" w:rsidP="008D3FF6">
      <w:pPr>
        <w:pStyle w:val="Paragraphedeliste"/>
        <w:numPr>
          <w:ilvl w:val="0"/>
          <w:numId w:val="16"/>
        </w:numPr>
        <w:jc w:val="both"/>
        <w:rPr>
          <w:rFonts w:ascii="Helvetica 45 Light" w:hAnsi="Helvetica 45 Light"/>
          <w:sz w:val="19"/>
          <w:szCs w:val="19"/>
          <w:lang w:val="fr-FR" w:eastAsia="fr-FR"/>
        </w:rPr>
      </w:pPr>
      <w:r w:rsidRPr="008D3FF6">
        <w:rPr>
          <w:rFonts w:ascii="Helvetica 45 Light" w:hAnsi="Helvetica 45 Light"/>
          <w:sz w:val="19"/>
          <w:szCs w:val="19"/>
          <w:lang w:val="fr-FR" w:eastAsia="fr-FR"/>
        </w:rPr>
        <w:t>Afin de respecter le principe de coordination des procédures, les demandes d'autorisations spéciales relevant de la protection des eaux (prélèvement d'eau, rejet d'eaux polluées après traitement dans une eau superficielle) ainsi que de l'aménagement de la décharge / de l’installation de valorisation de déchets minéraux ou de recyclage de déchets de type A devront être jointes aux demandes d'autorisation de construire y relatives.</w:t>
      </w:r>
    </w:p>
    <w:p w14:paraId="34F2B1F3" w14:textId="77777777" w:rsidR="005B6825" w:rsidRPr="008D3FF6" w:rsidRDefault="005B6825" w:rsidP="008D3FF6">
      <w:pPr>
        <w:pStyle w:val="Paragraphedeliste"/>
        <w:numPr>
          <w:ilvl w:val="0"/>
          <w:numId w:val="16"/>
        </w:numPr>
        <w:jc w:val="both"/>
        <w:rPr>
          <w:rFonts w:ascii="Helvetica 45 Light" w:hAnsi="Helvetica 45 Light"/>
          <w:sz w:val="19"/>
          <w:szCs w:val="19"/>
          <w:lang w:val="fr-FR" w:eastAsia="fr-FR"/>
        </w:rPr>
      </w:pPr>
      <w:r w:rsidRPr="008D3FF6">
        <w:rPr>
          <w:rFonts w:ascii="Helvetica 45 Light" w:hAnsi="Helvetica 45 Light"/>
          <w:sz w:val="19"/>
          <w:szCs w:val="19"/>
          <w:lang w:val="fr-FR" w:eastAsia="fr-FR"/>
        </w:rPr>
        <w:t>L'autorité compétente est la Commission cantonale des constructions (CCC).</w:t>
      </w:r>
    </w:p>
    <w:p w14:paraId="5DA17996" w14:textId="3A25A777" w:rsidR="005B6825" w:rsidRDefault="005B6825" w:rsidP="008D3FF6">
      <w:pPr>
        <w:pStyle w:val="Paragraphedeliste"/>
        <w:numPr>
          <w:ilvl w:val="0"/>
          <w:numId w:val="16"/>
        </w:numPr>
        <w:jc w:val="both"/>
        <w:rPr>
          <w:rFonts w:ascii="Helvetica 45 Light" w:hAnsi="Helvetica 45 Light"/>
          <w:sz w:val="19"/>
          <w:szCs w:val="19"/>
        </w:rPr>
      </w:pPr>
      <w:r w:rsidRPr="008D3FF6">
        <w:rPr>
          <w:rFonts w:ascii="Helvetica 45 Light" w:hAnsi="Helvetica 45 Light"/>
          <w:sz w:val="19"/>
          <w:szCs w:val="19"/>
          <w:lang w:val="fr-FR" w:eastAsia="fr-FR"/>
        </w:rPr>
        <w:t>Tous les dossiers nécessitant une procédure d'autorisation devront être accompagnés des plans et investigations nécessaires (notice ou rapport d'impact sur l'environnement - NIE ou RIE), demandes d'autorisations spéciales au sens des articles 21 alinéa 1 OEIE et 6 LcPE, expertise</w:t>
      </w:r>
      <w:r w:rsidRPr="005B6825">
        <w:rPr>
          <w:rFonts w:ascii="Helvetica 45 Light" w:hAnsi="Helvetica 45 Light"/>
          <w:sz w:val="19"/>
          <w:szCs w:val="19"/>
        </w:rPr>
        <w:t xml:space="preserve"> géologique, etc.).</w:t>
      </w:r>
    </w:p>
    <w:p w14:paraId="51964A09" w14:textId="77777777" w:rsidR="00BC29E3" w:rsidRPr="005B6825" w:rsidRDefault="00BC29E3" w:rsidP="00BC29E3">
      <w:pPr>
        <w:pStyle w:val="Paragraphedeliste"/>
        <w:ind w:left="1068"/>
        <w:jc w:val="both"/>
        <w:rPr>
          <w:rFonts w:ascii="Helvetica 45 Light" w:hAnsi="Helvetica 45 Light"/>
          <w:sz w:val="19"/>
          <w:szCs w:val="19"/>
        </w:rPr>
      </w:pPr>
    </w:p>
    <w:p w14:paraId="16C2662E" w14:textId="77777777" w:rsidR="005B6825" w:rsidRPr="005B6825" w:rsidRDefault="005B6825" w:rsidP="008D3FF6">
      <w:pPr>
        <w:pStyle w:val="Paragraphedeliste"/>
        <w:ind w:left="1068"/>
        <w:jc w:val="both"/>
        <w:rPr>
          <w:rFonts w:ascii="Helvetica 45 Light" w:hAnsi="Helvetica 45 Light"/>
          <w:sz w:val="19"/>
          <w:szCs w:val="19"/>
        </w:rPr>
      </w:pPr>
      <w:r w:rsidRPr="005B6825">
        <w:rPr>
          <w:rFonts w:ascii="Helvetica 45 Light" w:hAnsi="Helvetica 45 Light"/>
          <w:sz w:val="19"/>
          <w:szCs w:val="19"/>
        </w:rPr>
        <w:t>Pour le site d’extraction, devront notamment être précisés :</w:t>
      </w:r>
    </w:p>
    <w:p w14:paraId="3AD6C1C3" w14:textId="47249671" w:rsidR="005B6825" w:rsidRPr="005B6825" w:rsidRDefault="005B6825" w:rsidP="008D3FF6">
      <w:pPr>
        <w:ind w:left="360" w:firstLine="708"/>
        <w:rPr>
          <w:rFonts w:ascii="Helvetica 45 Light" w:hAnsi="Helvetica 45 Light"/>
          <w:sz w:val="19"/>
          <w:szCs w:val="19"/>
        </w:rPr>
      </w:pPr>
      <w:r w:rsidRPr="005B6825">
        <w:rPr>
          <w:rFonts w:ascii="Helvetica 45 Light" w:hAnsi="Helvetica 45 Light"/>
          <w:sz w:val="19"/>
          <w:szCs w:val="19"/>
        </w:rPr>
        <w:t>-</w:t>
      </w:r>
      <w:r w:rsidR="00BC29E3">
        <w:rPr>
          <w:rFonts w:ascii="Helvetica 45 Light" w:hAnsi="Helvetica 45 Light"/>
          <w:sz w:val="19"/>
          <w:szCs w:val="19"/>
        </w:rPr>
        <w:t xml:space="preserve"> </w:t>
      </w:r>
      <w:r w:rsidR="008D3FF6">
        <w:rPr>
          <w:rFonts w:ascii="Helvetica 45 Light" w:hAnsi="Helvetica 45 Light"/>
          <w:sz w:val="19"/>
          <w:szCs w:val="19"/>
        </w:rPr>
        <w:t xml:space="preserve">  </w:t>
      </w:r>
      <w:r w:rsidRPr="005B6825">
        <w:rPr>
          <w:rFonts w:ascii="Helvetica 45 Light" w:hAnsi="Helvetica 45 Light"/>
          <w:sz w:val="19"/>
          <w:szCs w:val="19"/>
        </w:rPr>
        <w:t>le projet de comblement du site (modes, étapes et mesures de remise en état du site) ;</w:t>
      </w:r>
    </w:p>
    <w:p w14:paraId="5BD42184" w14:textId="66471619" w:rsidR="005B6825" w:rsidRDefault="005B6825" w:rsidP="008D3FF6">
      <w:pPr>
        <w:ind w:left="360" w:firstLine="708"/>
        <w:rPr>
          <w:rFonts w:ascii="Helvetica 45 Light" w:hAnsi="Helvetica 45 Light"/>
          <w:sz w:val="19"/>
          <w:szCs w:val="19"/>
        </w:rPr>
      </w:pPr>
      <w:r w:rsidRPr="005B6825">
        <w:rPr>
          <w:rFonts w:ascii="Helvetica 45 Light" w:hAnsi="Helvetica 45 Light"/>
          <w:sz w:val="19"/>
          <w:szCs w:val="19"/>
        </w:rPr>
        <w:t>-</w:t>
      </w:r>
      <w:r w:rsidR="00BC29E3">
        <w:rPr>
          <w:rFonts w:ascii="Helvetica 45 Light" w:hAnsi="Helvetica 45 Light"/>
          <w:sz w:val="19"/>
          <w:szCs w:val="19"/>
        </w:rPr>
        <w:t xml:space="preserve"> </w:t>
      </w:r>
      <w:r w:rsidR="008D3FF6">
        <w:rPr>
          <w:rFonts w:ascii="Helvetica 45 Light" w:hAnsi="Helvetica 45 Light"/>
          <w:sz w:val="19"/>
          <w:szCs w:val="19"/>
        </w:rPr>
        <w:t xml:space="preserve">  </w:t>
      </w:r>
      <w:r w:rsidRPr="005B6825">
        <w:rPr>
          <w:rFonts w:ascii="Helvetica 45 Light" w:hAnsi="Helvetica 45 Light"/>
          <w:sz w:val="19"/>
          <w:szCs w:val="19"/>
        </w:rPr>
        <w:t>la stabilité des aménagements existants et envisagés (expertise géologique).</w:t>
      </w:r>
    </w:p>
    <w:p w14:paraId="2ACE7535" w14:textId="77777777" w:rsidR="00BC29E3" w:rsidRPr="005B6825" w:rsidRDefault="00BC29E3" w:rsidP="005B6825">
      <w:pPr>
        <w:ind w:firstLine="708"/>
        <w:rPr>
          <w:rFonts w:ascii="Helvetica 45 Light" w:hAnsi="Helvetica 45 Light"/>
          <w:sz w:val="19"/>
          <w:szCs w:val="19"/>
        </w:rPr>
      </w:pPr>
    </w:p>
    <w:p w14:paraId="7416B053" w14:textId="77777777" w:rsidR="005B6825" w:rsidRPr="005B6825" w:rsidRDefault="005B6825" w:rsidP="008D3FF6">
      <w:pPr>
        <w:pStyle w:val="Paragraphedeliste"/>
        <w:ind w:left="1068"/>
        <w:jc w:val="both"/>
        <w:rPr>
          <w:rFonts w:ascii="Helvetica 45 Light" w:hAnsi="Helvetica 45 Light"/>
          <w:sz w:val="19"/>
          <w:szCs w:val="19"/>
        </w:rPr>
      </w:pPr>
      <w:r w:rsidRPr="005B6825">
        <w:rPr>
          <w:rFonts w:ascii="Helvetica 45 Light" w:hAnsi="Helvetica 45 Light"/>
          <w:sz w:val="19"/>
          <w:szCs w:val="19"/>
        </w:rPr>
        <w:t>Pour la décharge, devront notamment être précisés :</w:t>
      </w:r>
    </w:p>
    <w:p w14:paraId="25774528" w14:textId="511AC3AB" w:rsidR="005B6825" w:rsidRPr="005B6825" w:rsidRDefault="008D3FF6" w:rsidP="00FF7DA8">
      <w:pPr>
        <w:ind w:left="1276" w:hanging="208"/>
        <w:jc w:val="both"/>
        <w:rPr>
          <w:rFonts w:ascii="Helvetica 45 Light" w:hAnsi="Helvetica 45 Light"/>
          <w:sz w:val="19"/>
          <w:szCs w:val="19"/>
        </w:rPr>
      </w:pPr>
      <w:r>
        <w:rPr>
          <w:rFonts w:ascii="Helvetica 45 Light" w:hAnsi="Helvetica 45 Light"/>
          <w:sz w:val="19"/>
          <w:szCs w:val="19"/>
        </w:rPr>
        <w:t>-</w:t>
      </w:r>
      <w:r>
        <w:rPr>
          <w:rFonts w:ascii="Helvetica 45 Light" w:hAnsi="Helvetica 45 Light"/>
          <w:sz w:val="19"/>
          <w:szCs w:val="19"/>
        </w:rPr>
        <w:tab/>
      </w:r>
      <w:r w:rsidR="005B6825" w:rsidRPr="005B6825">
        <w:rPr>
          <w:rFonts w:ascii="Helvetica 45 Light" w:hAnsi="Helvetica 45 Light"/>
          <w:sz w:val="19"/>
          <w:szCs w:val="19"/>
        </w:rPr>
        <w:t>l’avant-projet pour la fermeture de la décharge (modes, étapes et mesures de remise en état du site) ;</w:t>
      </w:r>
    </w:p>
    <w:p w14:paraId="5AFC2D33" w14:textId="4FA72AA6" w:rsidR="007E0DA3" w:rsidRPr="005B6825" w:rsidRDefault="005B6825">
      <w:pPr>
        <w:ind w:left="1276" w:hanging="208"/>
        <w:jc w:val="both"/>
        <w:rPr>
          <w:rFonts w:ascii="Helvetica 45 Light" w:hAnsi="Helvetica 45 Light"/>
          <w:sz w:val="19"/>
          <w:szCs w:val="19"/>
        </w:rPr>
      </w:pPr>
      <w:r w:rsidRPr="005B6825">
        <w:rPr>
          <w:rFonts w:ascii="Helvetica 45 Light" w:hAnsi="Helvetica 45 Light"/>
          <w:sz w:val="19"/>
          <w:szCs w:val="19"/>
        </w:rPr>
        <w:t>-</w:t>
      </w:r>
      <w:r w:rsidR="00BC29E3">
        <w:rPr>
          <w:rFonts w:ascii="Helvetica 45 Light" w:hAnsi="Helvetica 45 Light"/>
          <w:sz w:val="19"/>
          <w:szCs w:val="19"/>
        </w:rPr>
        <w:t xml:space="preserve"> </w:t>
      </w:r>
      <w:r w:rsidR="008D3FF6">
        <w:rPr>
          <w:rFonts w:ascii="Helvetica 45 Light" w:hAnsi="Helvetica 45 Light"/>
          <w:sz w:val="19"/>
          <w:szCs w:val="19"/>
        </w:rPr>
        <w:t xml:space="preserve"> </w:t>
      </w:r>
      <w:r w:rsidR="00FF7DA8">
        <w:rPr>
          <w:rFonts w:ascii="Helvetica 45 Light" w:hAnsi="Helvetica 45 Light"/>
          <w:sz w:val="19"/>
          <w:szCs w:val="19"/>
        </w:rPr>
        <w:tab/>
      </w:r>
      <w:r w:rsidRPr="005B6825">
        <w:rPr>
          <w:rFonts w:ascii="Helvetica 45 Light" w:hAnsi="Helvetica 45 Light"/>
          <w:sz w:val="19"/>
          <w:szCs w:val="19"/>
        </w:rPr>
        <w:t>la stabilité des aménagements existants et envisagés (expertise géologique).</w:t>
      </w:r>
    </w:p>
    <w:p w14:paraId="0E623BD3" w14:textId="5EB8A470" w:rsidR="00B50742" w:rsidRPr="00FE610F" w:rsidRDefault="00BC29E3" w:rsidP="008D3FF6">
      <w:pPr>
        <w:pStyle w:val="ArticleType1erNiveau"/>
        <w:numPr>
          <w:ilvl w:val="0"/>
          <w:numId w:val="15"/>
        </w:numPr>
        <w:spacing w:after="80" w:line="21" w:lineRule="atLeast"/>
        <w:rPr>
          <w:u w:val="single"/>
        </w:rPr>
      </w:pPr>
      <w:r w:rsidRPr="00FE610F">
        <w:rPr>
          <w:u w:val="single"/>
        </w:rPr>
        <w:t>Autorisation d’exploiter</w:t>
      </w:r>
    </w:p>
    <w:p w14:paraId="22BA5B79" w14:textId="77777777" w:rsidR="006D060D" w:rsidRPr="00FE610F" w:rsidRDefault="006D060D" w:rsidP="006D060D">
      <w:pPr>
        <w:pStyle w:val="ArticleType1erNiveau"/>
        <w:spacing w:after="80" w:line="21" w:lineRule="atLeast"/>
        <w:ind w:left="704"/>
        <w:rPr>
          <w:i/>
        </w:rPr>
      </w:pPr>
      <w:r w:rsidRPr="00FE610F">
        <w:rPr>
          <w:i/>
        </w:rPr>
        <w:t>Pour le site d’extraction :</w:t>
      </w:r>
    </w:p>
    <w:p w14:paraId="455D44EB" w14:textId="50AB6369" w:rsidR="00D33A32" w:rsidRDefault="006D060D" w:rsidP="006D060D">
      <w:pPr>
        <w:pStyle w:val="ArticleType1erNiveau"/>
        <w:spacing w:after="80" w:line="21" w:lineRule="atLeast"/>
        <w:ind w:left="704"/>
      </w:pPr>
      <w:r>
        <w:t>L'autorisation de construire constitue de fait une autorisation d’exploiter. Pour un site d’extraction, aucune demande d’autorisation d’exploiter spécifique ne doit être déposée. L’autorisation d’exploiter est reconnue dès l’obtention du permis d’utiliser délivré par l’autorité compétente, et qui constate la conformité des installations et aménagements aux conditions de l’autorisation de construire selon l’article 47 OC.</w:t>
      </w:r>
    </w:p>
    <w:p w14:paraId="4BC4D613" w14:textId="77777777" w:rsidR="006D060D" w:rsidRDefault="006D060D" w:rsidP="00FE610F">
      <w:pPr>
        <w:pStyle w:val="ArticleType1erNiveau"/>
        <w:spacing w:after="80" w:line="21" w:lineRule="atLeast"/>
        <w:ind w:left="704"/>
      </w:pPr>
    </w:p>
    <w:p w14:paraId="595584D2" w14:textId="77777777" w:rsidR="006D060D" w:rsidRPr="00FE610F" w:rsidRDefault="006D060D" w:rsidP="006D060D">
      <w:pPr>
        <w:pStyle w:val="ArticleType1erNiveau"/>
        <w:spacing w:after="80" w:line="21" w:lineRule="atLeast"/>
        <w:ind w:left="704"/>
        <w:rPr>
          <w:i/>
        </w:rPr>
      </w:pPr>
      <w:r w:rsidRPr="00FE610F">
        <w:rPr>
          <w:i/>
        </w:rPr>
        <w:lastRenderedPageBreak/>
        <w:t>Pour la décharge :</w:t>
      </w:r>
    </w:p>
    <w:p w14:paraId="539F32C0" w14:textId="2E2384A3" w:rsidR="006D060D" w:rsidRDefault="006D060D" w:rsidP="006D060D">
      <w:pPr>
        <w:pStyle w:val="ArticleType1erNiveau"/>
        <w:spacing w:after="80" w:line="21" w:lineRule="atLeast"/>
        <w:ind w:left="704"/>
      </w:pPr>
      <w:r>
        <w:t xml:space="preserve">Dès l'obtention de l'autorisation de construire, une </w:t>
      </w:r>
      <w:r w:rsidRPr="00FF7DA8">
        <w:t xml:space="preserve">demande d'autorisation d'exploiter </w:t>
      </w:r>
      <w:r w:rsidRPr="00FF7DA8">
        <w:rPr>
          <w:highlight w:val="green"/>
        </w:rPr>
        <w:t>une décharge de type X / une installation de valorisation de déchets minéraux</w:t>
      </w:r>
      <w:r>
        <w:t>, conforme aux prescriptions en vigueur, devra être déposée auprès du service en charge de l’environnement.</w:t>
      </w:r>
    </w:p>
    <w:p w14:paraId="1D6AD5A8" w14:textId="444E68A8" w:rsidR="006D060D" w:rsidRPr="00FE610F" w:rsidRDefault="006D060D" w:rsidP="00747362">
      <w:pPr>
        <w:pStyle w:val="ArticleType1erNiveau"/>
        <w:numPr>
          <w:ilvl w:val="0"/>
          <w:numId w:val="15"/>
        </w:numPr>
        <w:spacing w:after="80" w:line="21" w:lineRule="atLeast"/>
        <w:rPr>
          <w:u w:val="single"/>
        </w:rPr>
      </w:pPr>
      <w:r w:rsidRPr="00FE610F">
        <w:rPr>
          <w:u w:val="single"/>
        </w:rPr>
        <w:t>Degré de sensibilité au bruit (DS)</w:t>
      </w:r>
    </w:p>
    <w:p w14:paraId="7A72E7D3" w14:textId="679BB1C9" w:rsidR="006D060D" w:rsidRDefault="006D060D" w:rsidP="006D060D">
      <w:pPr>
        <w:pStyle w:val="ArticleType1erNiveau"/>
        <w:spacing w:after="80" w:line="21" w:lineRule="atLeast"/>
        <w:ind w:left="704"/>
      </w:pPr>
      <w:r>
        <w:t>Le degré de sensibilité au bruit est de IV (DS IV) selon l'article 43 OPB.</w:t>
      </w:r>
    </w:p>
    <w:p w14:paraId="6E49014D" w14:textId="77777777" w:rsidR="00265345" w:rsidRDefault="00265345" w:rsidP="00265345">
      <w:pPr>
        <w:rPr>
          <w:rFonts w:ascii="Helvetica 45 Light" w:hAnsi="Helvetica 45 Light" w:cs="Arial"/>
          <w:sz w:val="19"/>
          <w:szCs w:val="19"/>
        </w:rPr>
      </w:pPr>
      <w:r>
        <w:rPr>
          <w:rFonts w:ascii="Helvetica 45 Light" w:hAnsi="Helvetica 45 Light" w:cs="Arial"/>
          <w:sz w:val="19"/>
          <w:szCs w:val="19"/>
        </w:rPr>
        <w:br w:type="page"/>
      </w:r>
    </w:p>
    <w:p w14:paraId="01C3CF34" w14:textId="77777777" w:rsidR="00265345" w:rsidRDefault="00265345" w:rsidP="00265345">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265345" w14:paraId="6095277C" w14:textId="77777777" w:rsidTr="00265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4FF0A47A" w14:textId="77777777" w:rsidR="00265345" w:rsidRDefault="00265345">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5DE2CB11" w14:textId="77777777" w:rsidR="00265345" w:rsidRDefault="00265345">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265345" w14:paraId="5D246B5E" w14:textId="77777777" w:rsidTr="00FE610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5518B7DB" w14:textId="77777777" w:rsidR="00265345" w:rsidRPr="00FE610F" w:rsidRDefault="00265345">
            <w:pPr>
              <w:keepNext/>
              <w:spacing w:before="60" w:after="60" w:line="360" w:lineRule="auto"/>
              <w:rPr>
                <w:rFonts w:ascii="Helvetica 45 Light" w:hAnsi="Helvetica 45 Light"/>
                <w:sz w:val="16"/>
                <w:szCs w:val="16"/>
              </w:rPr>
            </w:pPr>
            <w:r w:rsidRPr="00FE610F">
              <w:rPr>
                <w:rFonts w:ascii="Helvetica 45 Light" w:hAnsi="Helvetica 45 Light"/>
                <w:sz w:val="16"/>
                <w:szCs w:val="16"/>
              </w:rPr>
              <w:t>Août 2021</w:t>
            </w:r>
          </w:p>
        </w:tc>
        <w:tc>
          <w:tcPr>
            <w:tcW w:w="6095" w:type="dxa"/>
            <w:tcBorders>
              <w:top w:val="nil"/>
              <w:left w:val="nil"/>
              <w:bottom w:val="nil"/>
              <w:right w:val="nil"/>
            </w:tcBorders>
            <w:hideMark/>
          </w:tcPr>
          <w:p w14:paraId="30523768" w14:textId="77777777" w:rsidR="00265345" w:rsidRPr="00FE610F" w:rsidRDefault="00265345">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FE610F">
              <w:rPr>
                <w:rFonts w:ascii="Helvetica 45 Light" w:hAnsi="Helvetica 45 Light"/>
                <w:sz w:val="16"/>
                <w:szCs w:val="16"/>
              </w:rPr>
              <w:t>Version initiale</w:t>
            </w:r>
          </w:p>
        </w:tc>
      </w:tr>
      <w:tr w:rsidR="00265345" w14:paraId="1137AABD" w14:textId="77777777" w:rsidTr="00265345">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5937E624" w14:textId="642FF390" w:rsidR="00265345" w:rsidRPr="006856CF" w:rsidRDefault="00FE610F">
            <w:pPr>
              <w:keepNext/>
              <w:spacing w:before="60" w:after="60" w:line="360" w:lineRule="auto"/>
              <w:rPr>
                <w:rFonts w:ascii="Helvetica 45 Light" w:hAnsi="Helvetica 45 Light"/>
                <w:sz w:val="16"/>
                <w:szCs w:val="16"/>
              </w:rPr>
            </w:pPr>
            <w:r w:rsidRPr="006856CF">
              <w:rPr>
                <w:rFonts w:ascii="Helvetica 45 Light" w:hAnsi="Helvetica 45 Light"/>
                <w:sz w:val="16"/>
                <w:szCs w:val="16"/>
              </w:rPr>
              <w:t>Décembre 2022</w:t>
            </w:r>
          </w:p>
        </w:tc>
        <w:tc>
          <w:tcPr>
            <w:tcW w:w="6095" w:type="dxa"/>
            <w:tcBorders>
              <w:top w:val="nil"/>
              <w:left w:val="nil"/>
              <w:bottom w:val="dotted" w:sz="4" w:space="0" w:color="auto"/>
              <w:right w:val="nil"/>
            </w:tcBorders>
            <w:hideMark/>
          </w:tcPr>
          <w:p w14:paraId="5084C99F" w14:textId="68DF90F6" w:rsidR="00265345" w:rsidRPr="006856CF" w:rsidRDefault="00FE610F">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6856CF">
              <w:rPr>
                <w:rFonts w:ascii="Helvetica 45 Light" w:hAnsi="Helvetica 45 Light"/>
                <w:sz w:val="16"/>
                <w:szCs w:val="16"/>
              </w:rPr>
              <w:t>Corrections erreurs de composition typographique</w:t>
            </w:r>
          </w:p>
        </w:tc>
      </w:tr>
    </w:tbl>
    <w:p w14:paraId="1F9DBD33" w14:textId="77777777" w:rsidR="00265345" w:rsidRDefault="00265345" w:rsidP="00265345">
      <w:pPr>
        <w:rPr>
          <w:rFonts w:ascii="Helvetica 45 Light" w:hAnsi="Helvetica 45 Light"/>
          <w:sz w:val="16"/>
          <w:szCs w:val="16"/>
          <w:lang w:eastAsia="fr-FR"/>
        </w:rPr>
      </w:pPr>
    </w:p>
    <w:p w14:paraId="01700B46" w14:textId="77777777" w:rsidR="00265345" w:rsidRDefault="00265345" w:rsidP="00265345">
      <w:pPr>
        <w:rPr>
          <w:rFonts w:ascii="Helvetica 45 Light" w:hAnsi="Helvetica 45 Light" w:cs="Arial"/>
          <w:sz w:val="19"/>
          <w:szCs w:val="19"/>
        </w:rPr>
      </w:pPr>
    </w:p>
    <w:p w14:paraId="426D2351" w14:textId="77777777" w:rsidR="00265345" w:rsidRDefault="00265345" w:rsidP="00265345">
      <w:pPr>
        <w:rPr>
          <w:rFonts w:ascii="Helvetica 45 Light" w:hAnsi="Helvetica 45 Light" w:cs="Arial"/>
          <w:sz w:val="19"/>
          <w:szCs w:val="19"/>
        </w:rPr>
      </w:pPr>
    </w:p>
    <w:p w14:paraId="6FF0BEAE" w14:textId="77777777" w:rsidR="00265345" w:rsidRDefault="00265345" w:rsidP="00265345">
      <w:pPr>
        <w:rPr>
          <w:rFonts w:ascii="Helvetica 45 Light" w:hAnsi="Helvetica 45 Light" w:cs="Arial"/>
          <w:sz w:val="19"/>
          <w:szCs w:val="19"/>
        </w:rPr>
      </w:pPr>
    </w:p>
    <w:p w14:paraId="511FB399" w14:textId="20006B24" w:rsidR="00137655" w:rsidRPr="005B6825" w:rsidRDefault="00137655" w:rsidP="00DE7053">
      <w:pPr>
        <w:pStyle w:val="ArticleType1erNiveau"/>
        <w:spacing w:before="0" w:after="80"/>
        <w:rPr>
          <w:highlight w:val="yellow"/>
        </w:rPr>
      </w:pPr>
    </w:p>
    <w:sectPr w:rsidR="00137655" w:rsidRPr="005B6825"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panose1 w:val="020B04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2AFF" w:usb1="4000ACFF"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7502" w14:textId="77777777" w:rsidR="002156F1" w:rsidRDefault="002156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6FE2D8F0"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2156F1">
      <w:rPr>
        <w:rStyle w:val="Numrodepage"/>
        <w:noProof/>
      </w:rPr>
      <w:t>7</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B286" w14:textId="77777777" w:rsidR="002156F1" w:rsidRDefault="002156F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50FA45D2"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2156F1">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2156F1">
      <w:rPr>
        <w:rStyle w:val="Numrodepage"/>
        <w:noProof/>
      </w:rPr>
      <w:t>7</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F5AA" w14:textId="0D8E43B3" w:rsidR="002156F1" w:rsidRDefault="002156F1">
    <w:pPr>
      <w:pStyle w:val="En-tte"/>
    </w:pPr>
    <w:r>
      <w:rPr>
        <w:noProof/>
      </w:rPr>
      <w:pict w14:anchorId="14EAC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302579" o:spid="_x0000_s47106"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240C" w14:textId="54C1E71E" w:rsidR="002156F1" w:rsidRDefault="002156F1">
    <w:pPr>
      <w:pStyle w:val="En-tte"/>
    </w:pPr>
    <w:r>
      <w:rPr>
        <w:noProof/>
      </w:rPr>
      <w:pict w14:anchorId="5B909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302580" o:spid="_x0000_s47107"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09A2" w14:textId="111C9706" w:rsidR="006856CF" w:rsidRDefault="002156F1" w:rsidP="006856CF">
    <w:pPr>
      <w:pStyle w:val="ACEn-tte"/>
      <w:tabs>
        <w:tab w:val="left" w:pos="0"/>
      </w:tabs>
      <w:ind w:right="4280"/>
      <w:rPr>
        <w:sz w:val="14"/>
      </w:rPr>
    </w:pPr>
    <w:r>
      <w:rPr>
        <w:noProof/>
      </w:rPr>
      <w:pict w14:anchorId="30463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302578" o:spid="_x0000_s47105"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6856CF">
      <w:rPr>
        <w:noProof/>
        <w:lang w:val="fr-CH" w:eastAsia="fr-CH"/>
      </w:rPr>
      <w:drawing>
        <wp:anchor distT="0" distB="0" distL="114300" distR="114300" simplePos="0" relativeHeight="251659264" behindDoc="0" locked="0" layoutInCell="1" allowOverlap="0" wp14:anchorId="47F687D4" wp14:editId="12708E2E">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856CF">
      <w:rPr>
        <w:noProof/>
        <w:lang w:val="fr-CH" w:eastAsia="fr-CH"/>
      </w:rPr>
      <w:drawing>
        <wp:anchor distT="0" distB="0" distL="114300" distR="114300" simplePos="0" relativeHeight="251660288" behindDoc="0" locked="0" layoutInCell="1" allowOverlap="1" wp14:anchorId="57C5BDDC" wp14:editId="326E37C4">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856CF">
      <w:rPr>
        <w:sz w:val="14"/>
      </w:rPr>
      <w:t>Département de la mobilité, du territoire et de l’environnement</w:t>
    </w:r>
  </w:p>
  <w:p w14:paraId="2DD54B04" w14:textId="77777777" w:rsidR="006856CF" w:rsidRDefault="006856CF" w:rsidP="006856CF">
    <w:pPr>
      <w:pStyle w:val="ACEn-tte"/>
      <w:tabs>
        <w:tab w:val="left" w:pos="0"/>
      </w:tabs>
      <w:spacing w:after="120"/>
      <w:ind w:right="5386"/>
      <w:rPr>
        <w:b/>
        <w:sz w:val="14"/>
        <w:lang w:val="de-CH"/>
      </w:rPr>
    </w:pPr>
    <w:r>
      <w:rPr>
        <w:b/>
        <w:sz w:val="14"/>
        <w:lang w:val="de-CH"/>
      </w:rPr>
      <w:t>Service du développement territorial</w:t>
    </w:r>
  </w:p>
  <w:p w14:paraId="6AABB703" w14:textId="77777777" w:rsidR="006856CF" w:rsidRDefault="006856CF" w:rsidP="006856CF">
    <w:pPr>
      <w:pStyle w:val="ACEn-tte"/>
      <w:tabs>
        <w:tab w:val="left" w:pos="0"/>
      </w:tabs>
      <w:ind w:right="4280"/>
      <w:rPr>
        <w:sz w:val="14"/>
        <w:szCs w:val="16"/>
        <w:lang w:val="de-CH"/>
      </w:rPr>
    </w:pPr>
    <w:r>
      <w:rPr>
        <w:sz w:val="14"/>
        <w:szCs w:val="16"/>
        <w:lang w:val="de-CH"/>
      </w:rPr>
      <w:t xml:space="preserve">Departement für Mobilität, Raumentwicklung und Umwelt </w:t>
    </w:r>
  </w:p>
  <w:p w14:paraId="5898D0C5" w14:textId="77777777" w:rsidR="006856CF" w:rsidRDefault="006856CF" w:rsidP="006856CF">
    <w:pPr>
      <w:pStyle w:val="ACEn-tte"/>
      <w:tabs>
        <w:tab w:val="left" w:pos="0"/>
      </w:tabs>
      <w:ind w:right="5386"/>
      <w:rPr>
        <w:b/>
        <w:sz w:val="14"/>
        <w:szCs w:val="20"/>
        <w:lang w:val="de-CH"/>
      </w:rPr>
    </w:pPr>
    <w:r>
      <w:rPr>
        <w:b/>
        <w:sz w:val="14"/>
        <w:lang w:val="de-CH"/>
      </w:rPr>
      <w:t>Dienststelle für Raumentwicklung</w:t>
    </w:r>
  </w:p>
  <w:p w14:paraId="798DF7DE" w14:textId="77777777" w:rsidR="006856CF" w:rsidRDefault="006856CF" w:rsidP="006856CF">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1CEE9129" w:rsidR="00676F5E" w:rsidRPr="006856CF" w:rsidRDefault="006856CF" w:rsidP="006856CF">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581185B3" wp14:editId="3AB2D0EB">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218A2D53" w:rsidR="00676F5E" w:rsidRDefault="002156F1">
    <w:pPr>
      <w:pStyle w:val="En-tte"/>
    </w:pPr>
    <w:r>
      <w:rPr>
        <w:noProof/>
      </w:rPr>
      <w:pict w14:anchorId="3BE6D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302582" o:spid="_x0000_s47109"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434C1D49" w:rsidR="006C3023" w:rsidRPr="006C3023" w:rsidRDefault="002156F1" w:rsidP="006C3023">
    <w:pPr>
      <w:pStyle w:val="en-ttenomdoc"/>
      <w:jc w:val="right"/>
    </w:pPr>
    <w:r>
      <w:rPr>
        <w:noProof/>
      </w:rPr>
      <w:pict w14:anchorId="18BA6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302583" o:spid="_x0000_s47110"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AB450C">
      <w:t xml:space="preserve">Zone </w:t>
    </w:r>
    <w:r w:rsidR="00A75D05">
      <w:t>d’extraction et/ou de dépôt et/ou de valorisation de matériaux</w:t>
    </w:r>
  </w:p>
  <w:p w14:paraId="4121DA8C" w14:textId="38C6FB01" w:rsidR="00676F5E" w:rsidRPr="006C3023" w:rsidRDefault="002156F1">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50D73B9B" w:rsidR="00676F5E" w:rsidRDefault="002156F1">
    <w:pPr>
      <w:pStyle w:val="En-tte"/>
    </w:pPr>
    <w:r>
      <w:rPr>
        <w:noProof/>
      </w:rPr>
      <w:pict w14:anchorId="50510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302581" o:spid="_x0000_s47108"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364"/>
    <w:multiLevelType w:val="hybridMultilevel"/>
    <w:tmpl w:val="52EC8024"/>
    <w:lvl w:ilvl="0" w:tplc="ED0CAC7A">
      <w:start w:val="1"/>
      <w:numFmt w:val="lowerLetter"/>
      <w:lvlText w:val="%1)"/>
      <w:lvlJc w:val="left"/>
      <w:pPr>
        <w:ind w:left="704" w:hanging="4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 w15:restartNumberingAfterBreak="0">
    <w:nsid w:val="0F5B35D0"/>
    <w:multiLevelType w:val="hybridMultilevel"/>
    <w:tmpl w:val="C74E8A64"/>
    <w:lvl w:ilvl="0" w:tplc="AEDCA8C0">
      <w:start w:val="1"/>
      <w:numFmt w:val="lowerLetter"/>
      <w:lvlText w:val="%1."/>
      <w:lvlJc w:val="left"/>
      <w:pPr>
        <w:ind w:left="1068" w:hanging="360"/>
      </w:pPr>
      <w:rPr>
        <w:rFonts w:ascii="Helvetica 45 Light" w:eastAsiaTheme="minorHAnsi" w:hAnsi="Helvetica 45 Light" w:cstheme="minorBidi"/>
        <w:caps w:val="0"/>
        <w:strike w:val="0"/>
        <w:dstrike w:val="0"/>
        <w:vanish w:val="0"/>
        <w:sz w:val="19"/>
        <w:vertAlign w:val="baseline"/>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15:restartNumberingAfterBreak="0">
    <w:nsid w:val="211B4536"/>
    <w:multiLevelType w:val="hybridMultilevel"/>
    <w:tmpl w:val="F8FA3E7A"/>
    <w:lvl w:ilvl="0" w:tplc="178CBF7E">
      <w:start w:val="1"/>
      <w:numFmt w:val="decimal"/>
      <w:lvlText w:val="%1"/>
      <w:lvlJc w:val="left"/>
      <w:pPr>
        <w:ind w:left="720"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2870F8C"/>
    <w:multiLevelType w:val="hybridMultilevel"/>
    <w:tmpl w:val="BC860EE0"/>
    <w:lvl w:ilvl="0" w:tplc="EABCD58A">
      <w:start w:val="3"/>
      <w:numFmt w:val="bullet"/>
      <w:lvlText w:val="-"/>
      <w:lvlJc w:val="left"/>
      <w:pPr>
        <w:ind w:left="1428" w:hanging="360"/>
      </w:pPr>
      <w:rPr>
        <w:rFonts w:ascii="Calibri" w:eastAsia="Times New Roman" w:hAnsi="Calibri" w:cs="Calibri"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7" w15:restartNumberingAfterBreak="0">
    <w:nsid w:val="33E812B7"/>
    <w:multiLevelType w:val="hybridMultilevel"/>
    <w:tmpl w:val="7D302E02"/>
    <w:lvl w:ilvl="0" w:tplc="B19639CA">
      <w:start w:val="1"/>
      <w:numFmt w:val="low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8"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9"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0"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F3B5A31"/>
    <w:multiLevelType w:val="hybridMultilevel"/>
    <w:tmpl w:val="C74E8A64"/>
    <w:lvl w:ilvl="0" w:tplc="AEDCA8C0">
      <w:start w:val="1"/>
      <w:numFmt w:val="lowerLetter"/>
      <w:lvlText w:val="%1."/>
      <w:lvlJc w:val="left"/>
      <w:pPr>
        <w:ind w:left="1068" w:hanging="360"/>
      </w:pPr>
      <w:rPr>
        <w:rFonts w:ascii="Helvetica 45 Light" w:eastAsiaTheme="minorHAnsi" w:hAnsi="Helvetica 45 Light" w:cstheme="minorBidi"/>
        <w:caps w:val="0"/>
        <w:strike w:val="0"/>
        <w:dstrike w:val="0"/>
        <w:vanish w:val="0"/>
        <w:sz w:val="19"/>
        <w:vertAlign w:val="baseline"/>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2"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3" w15:restartNumberingAfterBreak="0">
    <w:nsid w:val="681959F2"/>
    <w:multiLevelType w:val="hybridMultilevel"/>
    <w:tmpl w:val="B91053A2"/>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3683ECE"/>
    <w:multiLevelType w:val="hybridMultilevel"/>
    <w:tmpl w:val="D0AE2C72"/>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D1C7A72"/>
    <w:multiLevelType w:val="hybridMultilevel"/>
    <w:tmpl w:val="B608D92C"/>
    <w:lvl w:ilvl="0" w:tplc="C700BD82">
      <w:start w:val="1"/>
      <w:numFmt w:val="decimal"/>
      <w:lvlText w:val="%1."/>
      <w:lvlJc w:val="left"/>
      <w:pPr>
        <w:ind w:left="1068"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num w:numId="1">
    <w:abstractNumId w:val="14"/>
  </w:num>
  <w:num w:numId="2">
    <w:abstractNumId w:val="12"/>
  </w:num>
  <w:num w:numId="3">
    <w:abstractNumId w:val="1"/>
  </w:num>
  <w:num w:numId="4">
    <w:abstractNumId w:val="8"/>
  </w:num>
  <w:num w:numId="5">
    <w:abstractNumId w:val="10"/>
  </w:num>
  <w:num w:numId="6">
    <w:abstractNumId w:val="9"/>
  </w:num>
  <w:num w:numId="7">
    <w:abstractNumId w:val="5"/>
  </w:num>
  <w:num w:numId="8">
    <w:abstractNumId w:val="15"/>
  </w:num>
  <w:num w:numId="9">
    <w:abstractNumId w:val="11"/>
  </w:num>
  <w:num w:numId="10">
    <w:abstractNumId w:val="7"/>
  </w:num>
  <w:num w:numId="11">
    <w:abstractNumId w:val="16"/>
  </w:num>
  <w:num w:numId="12">
    <w:abstractNumId w:val="0"/>
  </w:num>
  <w:num w:numId="13">
    <w:abstractNumId w:val="17"/>
  </w:num>
  <w:num w:numId="14">
    <w:abstractNumId w:val="6"/>
  </w:num>
  <w:num w:numId="15">
    <w:abstractNumId w:val="3"/>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11"/>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52ABD"/>
    <w:rsid w:val="000A1727"/>
    <w:rsid w:val="000D0305"/>
    <w:rsid w:val="000D7FA2"/>
    <w:rsid w:val="000F7174"/>
    <w:rsid w:val="001076ED"/>
    <w:rsid w:val="00137655"/>
    <w:rsid w:val="00140E06"/>
    <w:rsid w:val="00142662"/>
    <w:rsid w:val="00142D29"/>
    <w:rsid w:val="00145DA1"/>
    <w:rsid w:val="001560CD"/>
    <w:rsid w:val="00156AFB"/>
    <w:rsid w:val="00183AD8"/>
    <w:rsid w:val="00197A41"/>
    <w:rsid w:val="001C2190"/>
    <w:rsid w:val="001E7EBE"/>
    <w:rsid w:val="00205BF7"/>
    <w:rsid w:val="002156F1"/>
    <w:rsid w:val="00223DD7"/>
    <w:rsid w:val="0023074C"/>
    <w:rsid w:val="00237DC1"/>
    <w:rsid w:val="002632A3"/>
    <w:rsid w:val="00265345"/>
    <w:rsid w:val="002732BA"/>
    <w:rsid w:val="002A2FF9"/>
    <w:rsid w:val="002A6010"/>
    <w:rsid w:val="002B38C2"/>
    <w:rsid w:val="002B5ACA"/>
    <w:rsid w:val="002E2DDF"/>
    <w:rsid w:val="002F2185"/>
    <w:rsid w:val="00333AA0"/>
    <w:rsid w:val="0034105B"/>
    <w:rsid w:val="0034155C"/>
    <w:rsid w:val="00347323"/>
    <w:rsid w:val="00347E8C"/>
    <w:rsid w:val="003712CD"/>
    <w:rsid w:val="00381D5F"/>
    <w:rsid w:val="003C78ED"/>
    <w:rsid w:val="003E41D6"/>
    <w:rsid w:val="003F325C"/>
    <w:rsid w:val="003F5C14"/>
    <w:rsid w:val="00414079"/>
    <w:rsid w:val="00416D08"/>
    <w:rsid w:val="004221C0"/>
    <w:rsid w:val="004252E5"/>
    <w:rsid w:val="004536C1"/>
    <w:rsid w:val="00453F86"/>
    <w:rsid w:val="00466121"/>
    <w:rsid w:val="005030A0"/>
    <w:rsid w:val="00514A11"/>
    <w:rsid w:val="00515FD3"/>
    <w:rsid w:val="00520BCD"/>
    <w:rsid w:val="00533BCB"/>
    <w:rsid w:val="00540D55"/>
    <w:rsid w:val="00562A25"/>
    <w:rsid w:val="005644DE"/>
    <w:rsid w:val="005709C9"/>
    <w:rsid w:val="005737CE"/>
    <w:rsid w:val="00575CCC"/>
    <w:rsid w:val="00586BDD"/>
    <w:rsid w:val="00594756"/>
    <w:rsid w:val="005955FF"/>
    <w:rsid w:val="00595AF4"/>
    <w:rsid w:val="00597BC9"/>
    <w:rsid w:val="005B6825"/>
    <w:rsid w:val="005C1413"/>
    <w:rsid w:val="005C5F9B"/>
    <w:rsid w:val="00601D3E"/>
    <w:rsid w:val="00620144"/>
    <w:rsid w:val="00637BB9"/>
    <w:rsid w:val="00666E6B"/>
    <w:rsid w:val="0067289D"/>
    <w:rsid w:val="006831C7"/>
    <w:rsid w:val="006856CF"/>
    <w:rsid w:val="00691E46"/>
    <w:rsid w:val="006B3D4C"/>
    <w:rsid w:val="006C3023"/>
    <w:rsid w:val="006D060D"/>
    <w:rsid w:val="006D670F"/>
    <w:rsid w:val="006D7E18"/>
    <w:rsid w:val="006E2279"/>
    <w:rsid w:val="006E7CA9"/>
    <w:rsid w:val="006F3A35"/>
    <w:rsid w:val="0072055D"/>
    <w:rsid w:val="00742AAE"/>
    <w:rsid w:val="00747362"/>
    <w:rsid w:val="00790433"/>
    <w:rsid w:val="007A0AFB"/>
    <w:rsid w:val="007A3441"/>
    <w:rsid w:val="007E0DA3"/>
    <w:rsid w:val="007F683E"/>
    <w:rsid w:val="008626CE"/>
    <w:rsid w:val="00886D02"/>
    <w:rsid w:val="008B7CAA"/>
    <w:rsid w:val="008D3FF6"/>
    <w:rsid w:val="008D6245"/>
    <w:rsid w:val="008E0AC8"/>
    <w:rsid w:val="008E4DDA"/>
    <w:rsid w:val="00926EAF"/>
    <w:rsid w:val="00930A7D"/>
    <w:rsid w:val="00933AEC"/>
    <w:rsid w:val="00944225"/>
    <w:rsid w:val="00954857"/>
    <w:rsid w:val="00962025"/>
    <w:rsid w:val="009811CB"/>
    <w:rsid w:val="009A056E"/>
    <w:rsid w:val="009A7464"/>
    <w:rsid w:val="009D1DEC"/>
    <w:rsid w:val="009D6F20"/>
    <w:rsid w:val="00A75D05"/>
    <w:rsid w:val="00A8604C"/>
    <w:rsid w:val="00A94453"/>
    <w:rsid w:val="00A96920"/>
    <w:rsid w:val="00AA2862"/>
    <w:rsid w:val="00AB450C"/>
    <w:rsid w:val="00AC528F"/>
    <w:rsid w:val="00AF1C72"/>
    <w:rsid w:val="00B120DA"/>
    <w:rsid w:val="00B25DB7"/>
    <w:rsid w:val="00B37CEE"/>
    <w:rsid w:val="00B50742"/>
    <w:rsid w:val="00B70EFA"/>
    <w:rsid w:val="00B7298D"/>
    <w:rsid w:val="00B95F94"/>
    <w:rsid w:val="00BA32DE"/>
    <w:rsid w:val="00BC29E3"/>
    <w:rsid w:val="00BC7D9A"/>
    <w:rsid w:val="00BD3159"/>
    <w:rsid w:val="00BE14B5"/>
    <w:rsid w:val="00BF6A2E"/>
    <w:rsid w:val="00C07E6A"/>
    <w:rsid w:val="00C3063D"/>
    <w:rsid w:val="00C401FA"/>
    <w:rsid w:val="00C57C0C"/>
    <w:rsid w:val="00CA681F"/>
    <w:rsid w:val="00CB3AEB"/>
    <w:rsid w:val="00CE43CC"/>
    <w:rsid w:val="00D026D8"/>
    <w:rsid w:val="00D05652"/>
    <w:rsid w:val="00D06BA3"/>
    <w:rsid w:val="00D112CF"/>
    <w:rsid w:val="00D33A32"/>
    <w:rsid w:val="00D40FFF"/>
    <w:rsid w:val="00D45DD4"/>
    <w:rsid w:val="00D46677"/>
    <w:rsid w:val="00D538D6"/>
    <w:rsid w:val="00D57DD1"/>
    <w:rsid w:val="00D65BF9"/>
    <w:rsid w:val="00D74113"/>
    <w:rsid w:val="00D96FD4"/>
    <w:rsid w:val="00DA155A"/>
    <w:rsid w:val="00DA3CBF"/>
    <w:rsid w:val="00DC4E25"/>
    <w:rsid w:val="00DE423A"/>
    <w:rsid w:val="00DE7053"/>
    <w:rsid w:val="00DF2241"/>
    <w:rsid w:val="00E21474"/>
    <w:rsid w:val="00E2445F"/>
    <w:rsid w:val="00E359A8"/>
    <w:rsid w:val="00E41DAA"/>
    <w:rsid w:val="00E521CA"/>
    <w:rsid w:val="00E94793"/>
    <w:rsid w:val="00EB0786"/>
    <w:rsid w:val="00F16666"/>
    <w:rsid w:val="00F322D1"/>
    <w:rsid w:val="00F77DF2"/>
    <w:rsid w:val="00F83F46"/>
    <w:rsid w:val="00F9037A"/>
    <w:rsid w:val="00F9560D"/>
    <w:rsid w:val="00FC4023"/>
    <w:rsid w:val="00FE610F"/>
    <w:rsid w:val="00FF7D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7111"/>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65345"/>
    <w:pPr>
      <w:keepNext/>
      <w:numPr>
        <w:numId w:val="17"/>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semiHidden/>
    <w:unhideWhenUsed/>
    <w:qFormat/>
    <w:rsid w:val="00265345"/>
    <w:pPr>
      <w:numPr>
        <w:ilvl w:val="1"/>
      </w:numPr>
      <w:tabs>
        <w:tab w:val="clear" w:pos="284"/>
        <w:tab w:val="left" w:pos="454"/>
      </w:tabs>
      <w:outlineLvl w:val="1"/>
    </w:pPr>
  </w:style>
  <w:style w:type="paragraph" w:styleId="Titre3">
    <w:name w:val="heading 3"/>
    <w:basedOn w:val="Titre1"/>
    <w:next w:val="Normal"/>
    <w:link w:val="Titre3Car"/>
    <w:semiHidden/>
    <w:unhideWhenUsed/>
    <w:qFormat/>
    <w:rsid w:val="00265345"/>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character" w:customStyle="1" w:styleId="Titre1Car">
    <w:name w:val="Titre 1 Car"/>
    <w:basedOn w:val="Policepardfaut"/>
    <w:link w:val="Titre1"/>
    <w:rsid w:val="00265345"/>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semiHidden/>
    <w:rsid w:val="00265345"/>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semiHidden/>
    <w:rsid w:val="00265345"/>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265345"/>
    <w:rPr>
      <w:rFonts w:eastAsiaTheme="minorEastAsia"/>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6856CF"/>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2015">
      <w:bodyDiv w:val="1"/>
      <w:marLeft w:val="0"/>
      <w:marRight w:val="0"/>
      <w:marTop w:val="0"/>
      <w:marBottom w:val="0"/>
      <w:divBdr>
        <w:top w:val="none" w:sz="0" w:space="0" w:color="auto"/>
        <w:left w:val="none" w:sz="0" w:space="0" w:color="auto"/>
        <w:bottom w:val="none" w:sz="0" w:space="0" w:color="auto"/>
        <w:right w:val="none" w:sz="0" w:space="0" w:color="auto"/>
      </w:divBdr>
    </w:div>
    <w:div w:id="403770380">
      <w:bodyDiv w:val="1"/>
      <w:marLeft w:val="0"/>
      <w:marRight w:val="0"/>
      <w:marTop w:val="0"/>
      <w:marBottom w:val="0"/>
      <w:divBdr>
        <w:top w:val="none" w:sz="0" w:space="0" w:color="auto"/>
        <w:left w:val="none" w:sz="0" w:space="0" w:color="auto"/>
        <w:bottom w:val="none" w:sz="0" w:space="0" w:color="auto"/>
        <w:right w:val="none" w:sz="0" w:space="0" w:color="auto"/>
      </w:divBdr>
    </w:div>
    <w:div w:id="5105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B4A9-05C0-401F-86BB-E56DC6E0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12825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160</cp:revision>
  <cp:lastPrinted>2024-03-18T09:10:00Z</cp:lastPrinted>
  <dcterms:created xsi:type="dcterms:W3CDTF">2021-03-20T18:27:00Z</dcterms:created>
  <dcterms:modified xsi:type="dcterms:W3CDTF">2024-03-18T09:10:00Z</dcterms:modified>
</cp:coreProperties>
</file>