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19" w:rsidRPr="00242A5A" w:rsidRDefault="00123019" w:rsidP="00E62BE3">
      <w:pPr>
        <w:pBdr>
          <w:bottom w:val="single" w:sz="12" w:space="1" w:color="FF0000"/>
        </w:pBdr>
        <w:jc w:val="both"/>
        <w:rPr>
          <w:rFonts w:ascii="Arial" w:hAnsi="Arial" w:cs="Arial"/>
          <w:b/>
          <w:sz w:val="32"/>
          <w:szCs w:val="32"/>
          <w:lang w:val="de-CH"/>
        </w:rPr>
      </w:pPr>
      <w:r w:rsidRPr="00242A5A">
        <w:rPr>
          <w:rFonts w:ascii="Arial" w:hAnsi="Arial" w:cs="Arial"/>
          <w:b/>
          <w:sz w:val="32"/>
          <w:szCs w:val="32"/>
          <w:lang w:val="de-CH"/>
        </w:rPr>
        <w:t>Rechnungslegungs- und Buchführungsgrundsätze der Gemeinde ………….</w:t>
      </w:r>
    </w:p>
    <w:p w:rsidR="00123019" w:rsidRPr="00242A5A" w:rsidRDefault="00123019" w:rsidP="0035028A">
      <w:pPr>
        <w:jc w:val="both"/>
        <w:rPr>
          <w:rFonts w:ascii="Arial" w:hAnsi="Arial" w:cs="Arial"/>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1. Rechtsgrundlage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D</w:t>
      </w:r>
      <w:r w:rsidR="0020332A" w:rsidRPr="00DE658B">
        <w:rPr>
          <w:rFonts w:ascii="Arial" w:hAnsi="Arial" w:cs="Arial"/>
          <w:sz w:val="18"/>
          <w:szCs w:val="18"/>
          <w:lang w:val="de-CH"/>
        </w:rPr>
        <w:t>i</w:t>
      </w:r>
      <w:r w:rsidRPr="00DE658B">
        <w:rPr>
          <w:rFonts w:ascii="Arial" w:hAnsi="Arial" w:cs="Arial"/>
          <w:sz w:val="18"/>
          <w:szCs w:val="18"/>
          <w:lang w:val="de-CH"/>
        </w:rPr>
        <w:t xml:space="preserve">e vorliegende Rechnung der Gemeinde </w:t>
      </w:r>
      <w:r w:rsidRPr="00DE658B">
        <w:rPr>
          <w:rFonts w:ascii="Arial" w:hAnsi="Arial" w:cs="Arial"/>
          <w:sz w:val="18"/>
          <w:szCs w:val="18"/>
          <w:highlight w:val="yellow"/>
          <w:lang w:val="de-CH"/>
        </w:rPr>
        <w:t>……</w:t>
      </w:r>
      <w:proofErr w:type="gramStart"/>
      <w:r w:rsidRPr="00DE658B">
        <w:rPr>
          <w:rFonts w:ascii="Arial" w:hAnsi="Arial" w:cs="Arial"/>
          <w:sz w:val="18"/>
          <w:szCs w:val="18"/>
          <w:highlight w:val="yellow"/>
          <w:lang w:val="de-CH"/>
        </w:rPr>
        <w:t>…….</w:t>
      </w:r>
      <w:proofErr w:type="gramEnd"/>
      <w:r w:rsidRPr="00DE658B">
        <w:rPr>
          <w:rFonts w:ascii="Arial" w:hAnsi="Arial" w:cs="Arial"/>
          <w:sz w:val="18"/>
          <w:szCs w:val="18"/>
          <w:lang w:val="de-CH"/>
        </w:rPr>
        <w:t>. basiert auf dem Gemeindegesetz (</w:t>
      </w:r>
      <w:proofErr w:type="spellStart"/>
      <w:r w:rsidRPr="00DE658B">
        <w:rPr>
          <w:rFonts w:ascii="Arial" w:hAnsi="Arial" w:cs="Arial"/>
          <w:sz w:val="18"/>
          <w:szCs w:val="18"/>
          <w:lang w:val="de-CH"/>
        </w:rPr>
        <w:t>GemG</w:t>
      </w:r>
      <w:proofErr w:type="spellEnd"/>
      <w:r w:rsidRPr="00DE658B">
        <w:rPr>
          <w:rFonts w:ascii="Arial" w:hAnsi="Arial" w:cs="Arial"/>
          <w:sz w:val="18"/>
          <w:szCs w:val="18"/>
          <w:lang w:val="de-CH"/>
        </w:rPr>
        <w:t>) vom 5. Februar 2004 sowie der Verordnung betreffend die Führung des Finanzhaushaltes der Gemeinden (</w:t>
      </w:r>
      <w:proofErr w:type="spellStart"/>
      <w:r w:rsidRPr="00DE658B">
        <w:rPr>
          <w:rFonts w:ascii="Arial" w:hAnsi="Arial" w:cs="Arial"/>
          <w:sz w:val="18"/>
          <w:szCs w:val="18"/>
          <w:lang w:val="de-CH"/>
        </w:rPr>
        <w:t>VFFHGem</w:t>
      </w:r>
      <w:proofErr w:type="spellEnd"/>
      <w:r w:rsidRPr="00DE658B">
        <w:rPr>
          <w:rFonts w:ascii="Arial" w:hAnsi="Arial" w:cs="Arial"/>
          <w:sz w:val="18"/>
          <w:szCs w:val="18"/>
          <w:lang w:val="de-CH"/>
        </w:rPr>
        <w:t>).</w:t>
      </w:r>
    </w:p>
    <w:p w:rsidR="00123019" w:rsidRPr="00DE658B" w:rsidRDefault="00123019" w:rsidP="00C51496">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2. Angewandte</w:t>
      </w:r>
      <w:r w:rsidR="00EB0751">
        <w:rPr>
          <w:rFonts w:ascii="Arial" w:hAnsi="Arial" w:cs="Arial"/>
          <w:b/>
          <w:sz w:val="28"/>
          <w:szCs w:val="28"/>
          <w:lang w:val="de-CH"/>
        </w:rPr>
        <w:t>s Regelwerk</w:t>
      </w:r>
      <w:r w:rsidRPr="00242A5A">
        <w:rPr>
          <w:rFonts w:ascii="Arial" w:hAnsi="Arial" w:cs="Arial"/>
          <w:b/>
          <w:sz w:val="28"/>
          <w:szCs w:val="28"/>
          <w:lang w:val="de-CH"/>
        </w:rPr>
        <w:t xml:space="preserve"> HRM2 und Abweichungen</w:t>
      </w:r>
    </w:p>
    <w:p w:rsidR="00123019" w:rsidRPr="00DE658B" w:rsidRDefault="00123019" w:rsidP="004D7E02">
      <w:pPr>
        <w:spacing w:after="60" w:line="240" w:lineRule="atLeast"/>
        <w:jc w:val="both"/>
        <w:rPr>
          <w:rFonts w:ascii="Arial" w:hAnsi="Arial" w:cs="Arial"/>
          <w:sz w:val="18"/>
          <w:szCs w:val="18"/>
          <w:lang w:val="de-CH"/>
        </w:rPr>
      </w:pPr>
      <w:r w:rsidRPr="00DE658B">
        <w:rPr>
          <w:rFonts w:ascii="Arial" w:hAnsi="Arial" w:cs="Arial"/>
          <w:sz w:val="18"/>
          <w:szCs w:val="18"/>
          <w:lang w:val="de-CH"/>
        </w:rPr>
        <w:t>Die Rechnungslegung erfolgt nach dem Harmonisierten Rechnungslegungsmodell für die Kantone und Gemeinden (HRM2), herausgegeben am 25. Januar 2008 von der Konferenz der kantonalen Finanzdirektoren</w:t>
      </w:r>
      <w:r w:rsidR="0020332A" w:rsidRPr="00DE658B">
        <w:rPr>
          <w:rFonts w:ascii="Arial" w:hAnsi="Arial" w:cs="Arial"/>
          <w:sz w:val="18"/>
          <w:szCs w:val="18"/>
          <w:lang w:val="de-CH"/>
        </w:rPr>
        <w:t>,</w:t>
      </w:r>
      <w:r w:rsidRPr="00DE658B">
        <w:rPr>
          <w:rFonts w:ascii="Arial" w:hAnsi="Arial" w:cs="Arial"/>
          <w:sz w:val="18"/>
          <w:szCs w:val="18"/>
          <w:lang w:val="de-CH"/>
        </w:rPr>
        <w:t xml:space="preserve"> sowie den Auslegungen des Schweizerischen Rechnungslegungsgremiums für den öffentlichen Sektor (SRS-CSPCP). Die Fachempfehlungen stellen Mindeststandards dar, welche alle öffentlichen Gemeinwesen erfüllen sollten. </w:t>
      </w:r>
      <w:r w:rsidR="00480787" w:rsidRPr="00DE658B">
        <w:rPr>
          <w:rFonts w:ascii="Arial" w:hAnsi="Arial" w:cs="Arial"/>
          <w:sz w:val="18"/>
          <w:szCs w:val="18"/>
          <w:lang w:val="de-CH"/>
        </w:rPr>
        <w:t xml:space="preserve">Je nach Fachempfehlung </w:t>
      </w:r>
      <w:r w:rsidR="00EB0751" w:rsidRPr="00DE658B">
        <w:rPr>
          <w:rFonts w:ascii="Arial" w:hAnsi="Arial" w:cs="Arial"/>
          <w:sz w:val="18"/>
          <w:szCs w:val="18"/>
          <w:lang w:val="de-CH"/>
        </w:rPr>
        <w:t>schlägt</w:t>
      </w:r>
      <w:r w:rsidR="00480787" w:rsidRPr="00DE658B">
        <w:rPr>
          <w:rFonts w:ascii="Arial" w:hAnsi="Arial" w:cs="Arial"/>
          <w:sz w:val="18"/>
          <w:szCs w:val="18"/>
          <w:lang w:val="de-CH"/>
        </w:rPr>
        <w:t xml:space="preserve"> HRM2 verschiedene </w:t>
      </w:r>
      <w:r w:rsidR="00EB0751" w:rsidRPr="00DE658B">
        <w:rPr>
          <w:rFonts w:ascii="Arial" w:hAnsi="Arial" w:cs="Arial"/>
          <w:sz w:val="18"/>
          <w:szCs w:val="18"/>
          <w:lang w:val="de-CH"/>
        </w:rPr>
        <w:t>Auswahlmöglichkeiten in Bezug auf die die Verbuchung und Präsentation vor</w:t>
      </w:r>
      <w:r w:rsidRPr="00DE658B">
        <w:rPr>
          <w:rFonts w:ascii="Arial" w:hAnsi="Arial" w:cs="Arial"/>
          <w:sz w:val="18"/>
          <w:szCs w:val="18"/>
          <w:lang w:val="de-CH"/>
        </w:rPr>
        <w:t>.</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Die Gemeinde </w:t>
      </w:r>
      <w:r w:rsidRPr="00DE658B">
        <w:rPr>
          <w:rFonts w:ascii="Arial" w:hAnsi="Arial" w:cs="Arial"/>
          <w:sz w:val="18"/>
          <w:szCs w:val="18"/>
          <w:highlight w:val="yellow"/>
          <w:lang w:val="de-CH"/>
        </w:rPr>
        <w:t>.................</w:t>
      </w:r>
      <w:r w:rsidRPr="00DE658B">
        <w:rPr>
          <w:rFonts w:ascii="Arial" w:hAnsi="Arial" w:cs="Arial"/>
          <w:sz w:val="18"/>
          <w:szCs w:val="18"/>
          <w:lang w:val="de-CH"/>
        </w:rPr>
        <w:t xml:space="preserve"> positioniert sich zu den Fachempfehlungen (FE) mit </w:t>
      </w:r>
      <w:r w:rsidR="00994CCC" w:rsidRPr="00DE658B">
        <w:rPr>
          <w:rFonts w:ascii="Arial" w:hAnsi="Arial" w:cs="Arial"/>
          <w:sz w:val="18"/>
          <w:szCs w:val="18"/>
          <w:lang w:val="de-CH"/>
        </w:rPr>
        <w:t xml:space="preserve">spezifischen </w:t>
      </w:r>
      <w:r w:rsidRPr="00DE658B">
        <w:rPr>
          <w:rFonts w:ascii="Arial" w:hAnsi="Arial" w:cs="Arial"/>
          <w:sz w:val="18"/>
          <w:szCs w:val="18"/>
          <w:lang w:val="de-CH"/>
        </w:rPr>
        <w:t xml:space="preserve">Wahlmöglichkeiten und Abweichungen wie folgt: </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02</w:t>
      </w:r>
      <w:r w:rsidR="00E77A87" w:rsidRPr="00BB03AF">
        <w:rPr>
          <w:rFonts w:ascii="Arial" w:hAnsi="Arial" w:cs="Arial"/>
          <w:sz w:val="20"/>
          <w:szCs w:val="20"/>
          <w:lang w:val="de-CH"/>
        </w:rPr>
        <w:tab/>
      </w:r>
      <w:r w:rsidRPr="00BB03AF">
        <w:rPr>
          <w:rFonts w:ascii="Arial" w:hAnsi="Arial" w:cs="Arial"/>
          <w:sz w:val="20"/>
          <w:szCs w:val="20"/>
          <w:lang w:val="de-CH"/>
        </w:rPr>
        <w:t>Grundsätze ordnungsgemässer Rechnungslegung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Erläuterungen zu den wesentlichen Konten der Erfolgsrechnung und der Investitionsrechnung sind in der einleitenden Botschaft der Broschüre der Rechnung zu finden.</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05</w:t>
      </w:r>
      <w:r w:rsidR="00E77A87" w:rsidRPr="00BB03AF">
        <w:rPr>
          <w:rFonts w:ascii="Arial" w:hAnsi="Arial" w:cs="Arial"/>
          <w:sz w:val="20"/>
          <w:szCs w:val="20"/>
          <w:lang w:val="de-CH"/>
        </w:rPr>
        <w:tab/>
      </w:r>
      <w:r w:rsidRPr="00BB03AF">
        <w:rPr>
          <w:rFonts w:ascii="Arial" w:hAnsi="Arial" w:cs="Arial"/>
          <w:sz w:val="20"/>
          <w:szCs w:val="20"/>
          <w:lang w:val="de-CH"/>
        </w:rPr>
        <w:t>Aktive und passive Rechnungsabgrenzung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festgelegte Grenzwert, ab welchem Rechnungsabgrenzungen vorgenommen werden, beträgt Fr.</w:t>
      </w:r>
      <w:r w:rsidR="00DE658B">
        <w:rPr>
          <w:rFonts w:ascii="Arial" w:hAnsi="Arial" w:cs="Arial"/>
          <w:sz w:val="18"/>
          <w:szCs w:val="18"/>
          <w:lang w:val="de-CH"/>
        </w:rPr>
        <w:t> </w:t>
      </w:r>
      <w:r w:rsidRPr="00DE658B">
        <w:rPr>
          <w:rFonts w:ascii="Arial" w:hAnsi="Arial" w:cs="Arial"/>
          <w:sz w:val="18"/>
          <w:szCs w:val="18"/>
          <w:highlight w:val="yellow"/>
          <w:lang w:val="de-CH"/>
        </w:rPr>
        <w: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06</w:t>
      </w:r>
      <w:r w:rsidR="00E77A87" w:rsidRPr="00BB03AF">
        <w:rPr>
          <w:rFonts w:ascii="Arial" w:hAnsi="Arial" w:cs="Arial"/>
          <w:sz w:val="20"/>
          <w:szCs w:val="20"/>
          <w:lang w:val="de-CH"/>
        </w:rPr>
        <w:tab/>
      </w:r>
      <w:r w:rsidRPr="00BB03AF">
        <w:rPr>
          <w:rFonts w:ascii="Arial" w:hAnsi="Arial" w:cs="Arial"/>
          <w:sz w:val="20"/>
          <w:szCs w:val="20"/>
          <w:lang w:val="de-CH"/>
        </w:rPr>
        <w:t>Wertberichtigungen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Das Finanzvermögen wird wertberichtigt, </w:t>
      </w:r>
      <w:r w:rsidR="00EB0751" w:rsidRPr="00DE658B">
        <w:rPr>
          <w:rFonts w:ascii="Arial" w:hAnsi="Arial" w:cs="Arial"/>
          <w:sz w:val="18"/>
          <w:szCs w:val="18"/>
          <w:lang w:val="de-CH"/>
        </w:rPr>
        <w:t>sofern</w:t>
      </w:r>
      <w:r w:rsidRPr="00DE658B">
        <w:rPr>
          <w:rFonts w:ascii="Arial" w:hAnsi="Arial" w:cs="Arial"/>
          <w:sz w:val="18"/>
          <w:szCs w:val="18"/>
          <w:lang w:val="de-CH"/>
        </w:rPr>
        <w:t xml:space="preserve"> eine dauerhafte Wertminderung absehbar ist.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07</w:t>
      </w:r>
      <w:r w:rsidR="00E77A87" w:rsidRPr="00BB03AF">
        <w:rPr>
          <w:rFonts w:ascii="Arial" w:hAnsi="Arial" w:cs="Arial"/>
          <w:sz w:val="20"/>
          <w:szCs w:val="20"/>
          <w:lang w:val="de-CH"/>
        </w:rPr>
        <w:tab/>
      </w:r>
      <w:r w:rsidRPr="00BB03AF">
        <w:rPr>
          <w:rFonts w:ascii="Arial" w:hAnsi="Arial" w:cs="Arial"/>
          <w:sz w:val="20"/>
          <w:szCs w:val="20"/>
          <w:lang w:val="de-CH"/>
        </w:rPr>
        <w:t>Steuererträge</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Steuererträge werden nach dem </w:t>
      </w:r>
      <w:r w:rsidRPr="00DE658B">
        <w:rPr>
          <w:rFonts w:ascii="Arial" w:hAnsi="Arial" w:cs="Arial"/>
          <w:color w:val="FF0000"/>
          <w:sz w:val="18"/>
          <w:szCs w:val="18"/>
          <w:lang w:val="de-CH"/>
        </w:rPr>
        <w:t xml:space="preserve">Steuer-Soll-Prinzip </w:t>
      </w:r>
      <w:r w:rsidRPr="00DE658B">
        <w:rPr>
          <w:rFonts w:ascii="Arial" w:hAnsi="Arial" w:cs="Arial"/>
          <w:sz w:val="18"/>
          <w:szCs w:val="18"/>
          <w:lang w:val="de-CH"/>
        </w:rPr>
        <w:t xml:space="preserve">/ </w:t>
      </w:r>
      <w:r w:rsidRPr="00DE658B">
        <w:rPr>
          <w:rFonts w:ascii="Arial" w:hAnsi="Arial" w:cs="Arial"/>
          <w:color w:val="0070C0"/>
          <w:sz w:val="18"/>
          <w:szCs w:val="18"/>
          <w:lang w:val="de-CH"/>
        </w:rPr>
        <w:t xml:space="preserve">Steuerabgrenzungs-Prinzip </w:t>
      </w:r>
      <w:r w:rsidRPr="00DE658B">
        <w:rPr>
          <w:rFonts w:ascii="Arial" w:hAnsi="Arial" w:cs="Arial"/>
          <w:sz w:val="18"/>
          <w:szCs w:val="18"/>
          <w:lang w:val="de-CH"/>
        </w:rPr>
        <w:t>verbucht.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08</w:t>
      </w:r>
      <w:r w:rsidR="00E77A87" w:rsidRPr="00BB03AF">
        <w:rPr>
          <w:rFonts w:ascii="Arial" w:hAnsi="Arial" w:cs="Arial"/>
          <w:sz w:val="20"/>
          <w:szCs w:val="20"/>
          <w:lang w:val="de-CH"/>
        </w:rPr>
        <w:tab/>
      </w:r>
      <w:r w:rsidRPr="00BB03AF">
        <w:rPr>
          <w:rFonts w:ascii="Arial" w:hAnsi="Arial" w:cs="Arial"/>
          <w:sz w:val="20"/>
          <w:szCs w:val="20"/>
          <w:lang w:val="de-CH"/>
        </w:rPr>
        <w:t>Spezialfinanzierungen und Vorfinanzierungen</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Vorfinanzierungen sind nicht zulässig.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Ergebnisse </w:t>
      </w:r>
      <w:r w:rsidR="008403D9" w:rsidRPr="00DE658B">
        <w:rPr>
          <w:rFonts w:ascii="Arial" w:hAnsi="Arial" w:cs="Arial"/>
          <w:sz w:val="18"/>
          <w:szCs w:val="18"/>
          <w:lang w:val="de-CH"/>
        </w:rPr>
        <w:t xml:space="preserve">der Aufgaben betreffend </w:t>
      </w:r>
      <w:r w:rsidRPr="00DE658B">
        <w:rPr>
          <w:rFonts w:ascii="Arial" w:hAnsi="Arial" w:cs="Arial"/>
          <w:sz w:val="18"/>
          <w:szCs w:val="18"/>
          <w:lang w:val="de-CH"/>
        </w:rPr>
        <w:t>Spezialfinanzierungen werden über die Konten 35 oder 45 in die Bilanz übertragen.</w:t>
      </w:r>
    </w:p>
    <w:p w:rsidR="00123019" w:rsidRPr="00BB03AF" w:rsidRDefault="008403D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09</w:t>
      </w:r>
      <w:r w:rsidRPr="00BB03AF">
        <w:rPr>
          <w:rFonts w:ascii="Arial" w:hAnsi="Arial" w:cs="Arial"/>
          <w:sz w:val="20"/>
          <w:szCs w:val="20"/>
          <w:lang w:val="de-CH"/>
        </w:rPr>
        <w:tab/>
      </w:r>
      <w:r w:rsidR="00123019" w:rsidRPr="00BB03AF">
        <w:rPr>
          <w:rFonts w:ascii="Arial" w:hAnsi="Arial" w:cs="Arial"/>
          <w:sz w:val="20"/>
          <w:szCs w:val="20"/>
          <w:lang w:val="de-CH"/>
        </w:rPr>
        <w:t>Rückstellungen und Eventualverbindlichkeiten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festgelegte Grenzwert, ab welchem Rückstellungen gebildet werden, beträgt Fr.</w:t>
      </w:r>
      <w:r w:rsidR="00655247" w:rsidRPr="00DE658B">
        <w:rPr>
          <w:rFonts w:ascii="Arial" w:hAnsi="Arial" w:cs="Arial"/>
          <w:sz w:val="18"/>
          <w:szCs w:val="18"/>
          <w:lang w:val="de-CH"/>
        </w:rPr>
        <w:t> </w:t>
      </w:r>
      <w:r w:rsidRPr="00DE658B">
        <w:rPr>
          <w:rFonts w:ascii="Arial" w:hAnsi="Arial" w:cs="Arial"/>
          <w:sz w:val="18"/>
          <w:szCs w:val="18"/>
          <w:highlight w:val="yellow"/>
          <w:lang w:val="de-CH"/>
        </w:rPr>
        <w:t>………………</w:t>
      </w:r>
    </w:p>
    <w:p w:rsidR="00123019" w:rsidRPr="00BB03AF" w:rsidRDefault="00123019" w:rsidP="008403D9">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10</w:t>
      </w:r>
      <w:r w:rsidR="00E77A87" w:rsidRPr="00BB03AF">
        <w:rPr>
          <w:rFonts w:ascii="Arial" w:hAnsi="Arial" w:cs="Arial"/>
          <w:sz w:val="20"/>
          <w:szCs w:val="20"/>
          <w:lang w:val="de-CH"/>
        </w:rPr>
        <w:tab/>
      </w:r>
      <w:r w:rsidRPr="00BB03AF">
        <w:rPr>
          <w:rFonts w:ascii="Arial" w:hAnsi="Arial" w:cs="Arial"/>
          <w:sz w:val="20"/>
          <w:szCs w:val="20"/>
          <w:lang w:val="de-CH"/>
        </w:rPr>
        <w:t>Investitionsrechnung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Aktivierung von Investitionen erfolgt gemäss Option 1, d.h. </w:t>
      </w:r>
      <w:r w:rsidR="005E5313" w:rsidRPr="00DE658B">
        <w:rPr>
          <w:rFonts w:ascii="Arial" w:hAnsi="Arial" w:cs="Arial"/>
          <w:sz w:val="18"/>
          <w:szCs w:val="18"/>
          <w:lang w:val="de-CH"/>
        </w:rPr>
        <w:t>in der Bilanz werden die Nettoinvestitionen aktiviert</w:t>
      </w:r>
      <w:r w:rsidRPr="00DE658B">
        <w:rPr>
          <w:rFonts w:ascii="Arial" w:hAnsi="Arial" w:cs="Arial"/>
          <w:sz w:val="18"/>
          <w:szCs w:val="18"/>
          <w:lang w:val="de-CH"/>
        </w:rPr>
        <w:t>.</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12</w:t>
      </w:r>
      <w:r w:rsidR="00E77A87" w:rsidRPr="00BB03AF">
        <w:rPr>
          <w:rFonts w:ascii="Arial" w:hAnsi="Arial" w:cs="Arial"/>
          <w:sz w:val="20"/>
          <w:szCs w:val="20"/>
          <w:lang w:val="de-CH"/>
        </w:rPr>
        <w:tab/>
      </w:r>
      <w:r w:rsidRPr="00BB03AF">
        <w:rPr>
          <w:rFonts w:ascii="Arial" w:hAnsi="Arial" w:cs="Arial"/>
          <w:sz w:val="20"/>
          <w:szCs w:val="20"/>
          <w:lang w:val="de-CH"/>
        </w:rPr>
        <w:t>Anlagegüter und Anlagebuchhaltung</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Aktivierungsgrenze für eigene Investitionen liegt bei Fr. </w:t>
      </w:r>
      <w:r w:rsidRPr="00DE658B">
        <w:rPr>
          <w:rFonts w:ascii="Arial" w:hAnsi="Arial" w:cs="Arial"/>
          <w:sz w:val="18"/>
          <w:szCs w:val="18"/>
          <w:highlight w:val="yellow"/>
          <w:lang w:val="de-CH"/>
        </w:rPr>
        <w:t>………………</w:t>
      </w:r>
      <w:r w:rsidRPr="00DE658B">
        <w:rPr>
          <w:rFonts w:ascii="Arial" w:hAnsi="Arial" w:cs="Arial"/>
          <w:sz w:val="18"/>
          <w:szCs w:val="18"/>
          <w:lang w:val="de-CH"/>
        </w:rPr>
        <w:t xml:space="preserve"> pro Objekt oder Projekt.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Abschreibungen erfolgen ab Arbeitsbeginn.</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Der Abschreibungssatz wird auf dem Buchwert per 01.01., zuzüglich die Nettoinvestitionen des laufenden Rechnungsjahres, angewandt.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Es wird die degressive Abschreibungsmethode angewandt.</w:t>
      </w:r>
    </w:p>
    <w:p w:rsidR="00123019" w:rsidRPr="004D7E02" w:rsidRDefault="00123019" w:rsidP="004D7E02">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Zusätzliche Abschreibungen sind nicht zulässig.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Parzellierte Grundstücke von übrigen Tiefbauten und Hochbauten können in spezifischen Konten als Grundstücke des Verwa</w:t>
      </w:r>
      <w:r w:rsidR="00E62BE3" w:rsidRPr="00DE658B">
        <w:rPr>
          <w:rFonts w:ascii="Arial" w:hAnsi="Arial" w:cs="Arial"/>
          <w:sz w:val="18"/>
          <w:szCs w:val="18"/>
          <w:lang w:val="de-CH"/>
        </w:rPr>
        <w:t>ltungsvermögens erfasst werden.</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lastRenderedPageBreak/>
        <w:t>FE 13</w:t>
      </w:r>
      <w:r w:rsidR="00E77A87" w:rsidRPr="00BB03AF">
        <w:rPr>
          <w:rFonts w:ascii="Arial" w:hAnsi="Arial" w:cs="Arial"/>
          <w:sz w:val="20"/>
          <w:szCs w:val="20"/>
          <w:lang w:val="de-CH"/>
        </w:rPr>
        <w:tab/>
      </w:r>
      <w:r w:rsidRPr="00BB03AF">
        <w:rPr>
          <w:rFonts w:ascii="Arial" w:hAnsi="Arial" w:cs="Arial"/>
          <w:sz w:val="20"/>
          <w:szCs w:val="20"/>
          <w:lang w:val="de-CH"/>
        </w:rPr>
        <w:t>Konsolidierte Betrachtungsweise</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Tabelle der Beteiligungen muss zumindest im Anhang der Rechnung enthalten sein.</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14</w:t>
      </w:r>
      <w:r w:rsidR="00E77A87" w:rsidRPr="00BB03AF">
        <w:rPr>
          <w:rFonts w:ascii="Arial" w:hAnsi="Arial" w:cs="Arial"/>
          <w:sz w:val="20"/>
          <w:szCs w:val="20"/>
          <w:lang w:val="de-CH"/>
        </w:rPr>
        <w:tab/>
      </w:r>
      <w:r w:rsidRPr="00BB03AF">
        <w:rPr>
          <w:rFonts w:ascii="Arial" w:hAnsi="Arial" w:cs="Arial"/>
          <w:sz w:val="20"/>
          <w:szCs w:val="20"/>
          <w:lang w:val="de-CH"/>
        </w:rPr>
        <w:t>Geldflussrechnung</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vereinfachte Geldflussrechnung </w:t>
      </w:r>
      <w:r w:rsidR="00CE5690">
        <w:rPr>
          <w:rFonts w:ascii="Arial" w:hAnsi="Arial" w:cs="Arial"/>
          <w:sz w:val="18"/>
          <w:szCs w:val="18"/>
          <w:lang w:val="de-CH"/>
        </w:rPr>
        <w:t>wurde</w:t>
      </w:r>
      <w:r w:rsidRPr="00DE658B">
        <w:rPr>
          <w:rFonts w:ascii="Arial" w:hAnsi="Arial" w:cs="Arial"/>
          <w:sz w:val="18"/>
          <w:szCs w:val="18"/>
          <w:lang w:val="de-CH"/>
        </w:rPr>
        <w:t xml:space="preserve"> auf der Grundlage der aktualisierten Finanzierungs-Tabelle vom HRM1 erstellt.</w:t>
      </w:r>
    </w:p>
    <w:p w:rsidR="00123019" w:rsidRPr="00BB03AF" w:rsidRDefault="00E77A87"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17</w:t>
      </w:r>
      <w:r w:rsidRPr="00BB03AF">
        <w:rPr>
          <w:rFonts w:ascii="Arial" w:hAnsi="Arial" w:cs="Arial"/>
          <w:sz w:val="20"/>
          <w:szCs w:val="20"/>
          <w:lang w:val="de-CH"/>
        </w:rPr>
        <w:tab/>
      </w:r>
      <w:r w:rsidR="00123019" w:rsidRPr="00BB03AF">
        <w:rPr>
          <w:rFonts w:ascii="Arial" w:hAnsi="Arial" w:cs="Arial"/>
          <w:sz w:val="20"/>
          <w:szCs w:val="20"/>
          <w:lang w:val="de-CH"/>
        </w:rPr>
        <w:t>Finanzpolitische Zielgrössen und Instrumente</w:t>
      </w:r>
    </w:p>
    <w:p w:rsidR="00123019" w:rsidRPr="00DE658B" w:rsidRDefault="00123019" w:rsidP="00841E5B">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Es kann eine finanzpolitische Reserve, vergleichbar mit einer Konjunktur- oder Ausgleichsreserve, gebildet werden. Die Einlagen in diese finanzpolitische Reserve oder die Entnahmen daraus müssen als ausserordentliche Aufwände oder Erträge verbucht werden.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F61418" w:rsidRPr="00DE658B">
        <w:rPr>
          <w:rFonts w:ascii="Arial" w:hAnsi="Arial" w:cs="Arial"/>
          <w:sz w:val="18"/>
          <w:szCs w:val="18"/>
          <w:lang w:val="de-CH"/>
        </w:rPr>
        <w:t>Eine Nachfinanzierung der finanzpolitischen Reserven ist nicht zulässig.</w:t>
      </w:r>
      <w:r w:rsidRPr="00DE658B">
        <w:rPr>
          <w:rFonts w:ascii="Arial" w:hAnsi="Arial" w:cs="Arial"/>
          <w:sz w:val="18"/>
          <w:szCs w:val="18"/>
          <w:lang w:val="de-CH"/>
        </w:rPr>
        <w:t xml:space="preserve"> </w:t>
      </w:r>
    </w:p>
    <w:p w:rsidR="00123019" w:rsidRPr="00BB03AF" w:rsidRDefault="00E77A87"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18</w:t>
      </w:r>
      <w:r w:rsidRPr="00BB03AF">
        <w:rPr>
          <w:rFonts w:ascii="Arial" w:hAnsi="Arial" w:cs="Arial"/>
          <w:sz w:val="20"/>
          <w:szCs w:val="20"/>
          <w:lang w:val="de-CH"/>
        </w:rPr>
        <w:tab/>
      </w:r>
      <w:r w:rsidR="00123019" w:rsidRPr="00BB03AF">
        <w:rPr>
          <w:rFonts w:ascii="Arial" w:hAnsi="Arial" w:cs="Arial"/>
          <w:sz w:val="20"/>
          <w:szCs w:val="20"/>
          <w:lang w:val="de-CH"/>
        </w:rPr>
        <w:t>Finanzkennzahlen</w:t>
      </w:r>
    </w:p>
    <w:p w:rsidR="00123019" w:rsidRPr="00DE658B" w:rsidRDefault="00123019" w:rsidP="00BB03AF">
      <w:pPr>
        <w:spacing w:after="24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Die von der Konferenz der kantonalen Finanzdirektoren empfohlenen Kennzahlen der 1. und 2. Priorität werden in der einleitenden Botschaft </w:t>
      </w:r>
      <w:r w:rsidR="00DA5921" w:rsidRPr="00DE658B">
        <w:rPr>
          <w:rFonts w:ascii="Arial" w:hAnsi="Arial" w:cs="Arial"/>
          <w:sz w:val="18"/>
          <w:szCs w:val="18"/>
          <w:lang w:val="de-CH"/>
        </w:rPr>
        <w:t>präsentiert</w:t>
      </w:r>
      <w:r w:rsidRPr="00DE658B">
        <w:rPr>
          <w:rFonts w:ascii="Arial" w:hAnsi="Arial" w:cs="Arial"/>
          <w:sz w:val="18"/>
          <w:szCs w:val="18"/>
          <w:lang w:val="de-CH"/>
        </w:rPr>
        <w:t xml:space="preserve">. Die Definitionen und die Berechnungsart </w:t>
      </w:r>
      <w:r w:rsidR="00242A5A" w:rsidRPr="00DE658B">
        <w:rPr>
          <w:rFonts w:ascii="Arial" w:hAnsi="Arial" w:cs="Arial"/>
          <w:sz w:val="18"/>
          <w:szCs w:val="18"/>
          <w:lang w:val="de-CH"/>
        </w:rPr>
        <w:t>sind</w:t>
      </w:r>
      <w:r w:rsidRPr="00DE658B">
        <w:rPr>
          <w:rFonts w:ascii="Arial" w:hAnsi="Arial" w:cs="Arial"/>
          <w:sz w:val="18"/>
          <w:szCs w:val="18"/>
          <w:lang w:val="de-CH"/>
        </w:rPr>
        <w:t xml:space="preserve"> im Anhang C des Handbuchs "Harmonisiertes Rechnungslegungsmodell für die Kantone und Gemeinden" zu finden.</w:t>
      </w:r>
    </w:p>
    <w:p w:rsidR="00123019" w:rsidRPr="00BB03AF" w:rsidRDefault="00123019" w:rsidP="00524A32">
      <w:pPr>
        <w:tabs>
          <w:tab w:val="left" w:pos="851"/>
        </w:tabs>
        <w:spacing w:after="40"/>
        <w:jc w:val="both"/>
        <w:rPr>
          <w:rFonts w:ascii="Arial" w:hAnsi="Arial" w:cs="Arial"/>
          <w:sz w:val="20"/>
          <w:szCs w:val="20"/>
          <w:lang w:val="de-CH"/>
        </w:rPr>
      </w:pPr>
      <w:r w:rsidRPr="00BB03AF">
        <w:rPr>
          <w:rFonts w:ascii="Arial" w:hAnsi="Arial" w:cs="Arial"/>
          <w:sz w:val="20"/>
          <w:szCs w:val="20"/>
          <w:lang w:val="de-CH"/>
        </w:rPr>
        <w:t>FE 19</w:t>
      </w:r>
      <w:r w:rsidR="00E77A87" w:rsidRPr="00BB03AF">
        <w:rPr>
          <w:rFonts w:ascii="Arial" w:hAnsi="Arial" w:cs="Arial"/>
          <w:sz w:val="20"/>
          <w:szCs w:val="20"/>
          <w:lang w:val="de-CH"/>
        </w:rPr>
        <w:tab/>
      </w:r>
      <w:r w:rsidRPr="00BB03AF">
        <w:rPr>
          <w:rFonts w:ascii="Arial" w:hAnsi="Arial" w:cs="Arial"/>
          <w:sz w:val="20"/>
          <w:szCs w:val="20"/>
          <w:lang w:val="de-CH"/>
        </w:rPr>
        <w:t>Vorgehen beim Übergang zum HRM2</w:t>
      </w:r>
      <w:r w:rsidR="00F61418" w:rsidRPr="00BB03AF">
        <w:rPr>
          <w:rFonts w:ascii="Arial" w:hAnsi="Arial" w:cs="Arial"/>
          <w:sz w:val="20"/>
          <w:szCs w:val="20"/>
          <w:lang w:val="de-CH"/>
        </w:rPr>
        <w:t xml:space="preserve"> (</w:t>
      </w:r>
      <w:r w:rsidR="00F61418" w:rsidRPr="00BB03AF">
        <w:rPr>
          <w:rFonts w:ascii="Arial" w:hAnsi="Arial" w:cs="Arial"/>
          <w:sz w:val="20"/>
          <w:szCs w:val="20"/>
          <w:highlight w:val="cyan"/>
          <w:lang w:val="de-CH"/>
        </w:rPr>
        <w:t>2022</w:t>
      </w:r>
      <w:r w:rsidR="00F61418" w:rsidRPr="00BB03AF">
        <w:rPr>
          <w:rFonts w:ascii="Arial" w:hAnsi="Arial" w:cs="Arial"/>
          <w:sz w:val="20"/>
          <w:szCs w:val="20"/>
          <w:lang w:val="de-CH"/>
        </w:rPr>
        <w: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 xml:space="preserve">Zwecks Vergleichbarkeit werden bei der Einführung des HRM2 die Bilanzwerte des Vorjahres </w:t>
      </w:r>
      <w:r w:rsidR="00CE5690">
        <w:rPr>
          <w:rFonts w:ascii="Arial" w:hAnsi="Arial" w:cs="Arial"/>
          <w:sz w:val="18"/>
          <w:szCs w:val="18"/>
          <w:lang w:val="de-CH"/>
        </w:rPr>
        <w:t>am</w:t>
      </w:r>
      <w:r w:rsidRPr="00DE658B">
        <w:rPr>
          <w:rFonts w:ascii="Arial" w:hAnsi="Arial" w:cs="Arial"/>
          <w:sz w:val="18"/>
          <w:szCs w:val="18"/>
          <w:lang w:val="de-CH"/>
        </w:rPr>
        <w:t xml:space="preserve"> 01.01.</w:t>
      </w:r>
      <w:r w:rsidR="00F61418" w:rsidRPr="00DE658B">
        <w:rPr>
          <w:rFonts w:ascii="Arial" w:hAnsi="Arial" w:cs="Arial"/>
          <w:sz w:val="18"/>
          <w:szCs w:val="18"/>
          <w:highlight w:val="cyan"/>
          <w:lang w:val="de-CH"/>
        </w:rPr>
        <w:t>20</w:t>
      </w:r>
      <w:r w:rsidR="00D3154D">
        <w:rPr>
          <w:rFonts w:ascii="Arial" w:hAnsi="Arial" w:cs="Arial"/>
          <w:sz w:val="18"/>
          <w:szCs w:val="18"/>
          <w:highlight w:val="cyan"/>
          <w:lang w:val="de-CH"/>
        </w:rPr>
        <w:t>22</w:t>
      </w:r>
      <w:r w:rsidRPr="00DE658B">
        <w:rPr>
          <w:rFonts w:ascii="Arial" w:hAnsi="Arial" w:cs="Arial"/>
          <w:sz w:val="18"/>
          <w:szCs w:val="18"/>
          <w:lang w:val="de-CH"/>
        </w:rPr>
        <w:t xml:space="preserve"> (anstatt 31.12.</w:t>
      </w:r>
      <w:r w:rsidR="00F61418" w:rsidRPr="00DE658B">
        <w:rPr>
          <w:rFonts w:ascii="Arial" w:hAnsi="Arial" w:cs="Arial"/>
          <w:sz w:val="18"/>
          <w:szCs w:val="18"/>
          <w:highlight w:val="cyan"/>
          <w:lang w:val="de-CH"/>
        </w:rPr>
        <w:t>20</w:t>
      </w:r>
      <w:r w:rsidR="00D3154D">
        <w:rPr>
          <w:rFonts w:ascii="Arial" w:hAnsi="Arial" w:cs="Arial"/>
          <w:sz w:val="18"/>
          <w:szCs w:val="18"/>
          <w:highlight w:val="cyan"/>
          <w:lang w:val="de-CH"/>
        </w:rPr>
        <w:t>21</w:t>
      </w:r>
      <w:bookmarkStart w:id="0" w:name="_GoBack"/>
      <w:bookmarkEnd w:id="0"/>
      <w:r w:rsidRPr="00DE658B">
        <w:rPr>
          <w:rFonts w:ascii="Arial" w:hAnsi="Arial" w:cs="Arial"/>
          <w:sz w:val="18"/>
          <w:szCs w:val="18"/>
          <w:lang w:val="de-CH"/>
        </w:rPr>
        <w:t>) und somit nach</w:t>
      </w:r>
      <w:r w:rsidR="00CE5690">
        <w:rPr>
          <w:rFonts w:ascii="Arial" w:hAnsi="Arial" w:cs="Arial"/>
          <w:sz w:val="18"/>
          <w:szCs w:val="18"/>
          <w:lang w:val="de-CH"/>
        </w:rPr>
        <w:t xml:space="preserve"> den</w:t>
      </w:r>
      <w:r w:rsidRPr="00DE658B">
        <w:rPr>
          <w:rFonts w:ascii="Arial" w:hAnsi="Arial" w:cs="Arial"/>
          <w:sz w:val="18"/>
          <w:szCs w:val="18"/>
          <w:lang w:val="de-CH"/>
        </w:rPr>
        <w:t xml:space="preserve"> </w:t>
      </w:r>
      <w:r w:rsidR="00CE5690" w:rsidRPr="00DE658B">
        <w:rPr>
          <w:rFonts w:ascii="Arial" w:hAnsi="Arial" w:cs="Arial"/>
          <w:sz w:val="18"/>
          <w:szCs w:val="18"/>
          <w:lang w:val="de-CH"/>
        </w:rPr>
        <w:t>aufgrund von HRM2</w:t>
      </w:r>
      <w:r w:rsidR="00CE5690">
        <w:rPr>
          <w:rFonts w:ascii="Arial" w:hAnsi="Arial" w:cs="Arial"/>
          <w:sz w:val="18"/>
          <w:szCs w:val="18"/>
          <w:lang w:val="de-CH"/>
        </w:rPr>
        <w:t xml:space="preserve"> erfolgten</w:t>
      </w:r>
      <w:r w:rsidR="00CE5690" w:rsidRPr="00DE658B">
        <w:rPr>
          <w:rFonts w:ascii="Arial" w:hAnsi="Arial" w:cs="Arial"/>
          <w:sz w:val="18"/>
          <w:szCs w:val="18"/>
          <w:lang w:val="de-CH"/>
        </w:rPr>
        <w:t xml:space="preserve"> </w:t>
      </w:r>
      <w:r w:rsidR="00D3154D">
        <w:rPr>
          <w:rFonts w:ascii="Arial" w:hAnsi="Arial" w:cs="Arial"/>
          <w:sz w:val="18"/>
          <w:szCs w:val="18"/>
          <w:lang w:val="de-CH"/>
        </w:rPr>
        <w:t>Neuklassierungen</w:t>
      </w:r>
      <w:r w:rsidRPr="00DE658B">
        <w:rPr>
          <w:rFonts w:ascii="Arial" w:hAnsi="Arial" w:cs="Arial"/>
          <w:sz w:val="18"/>
          <w:szCs w:val="18"/>
          <w:lang w:val="de-CH"/>
        </w:rPr>
        <w:t xml:space="preserve"> und Anpassungen präsentiert. Dies trifft auch auf die </w:t>
      </w:r>
      <w:r w:rsidR="00CE5690">
        <w:rPr>
          <w:rFonts w:ascii="Arial" w:hAnsi="Arial" w:cs="Arial"/>
          <w:sz w:val="18"/>
          <w:szCs w:val="18"/>
          <w:lang w:val="de-CH"/>
        </w:rPr>
        <w:t>Werte</w:t>
      </w:r>
      <w:r w:rsidRPr="00DE658B">
        <w:rPr>
          <w:rFonts w:ascii="Arial" w:hAnsi="Arial" w:cs="Arial"/>
          <w:sz w:val="18"/>
          <w:szCs w:val="18"/>
          <w:lang w:val="de-CH"/>
        </w:rPr>
        <w:t xml:space="preserve"> im Gewährleistungsspiegel zu.</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Pr="00DE658B">
        <w:rPr>
          <w:rFonts w:ascii="Arial" w:hAnsi="Arial" w:cs="Arial"/>
          <w:color w:val="0070C0"/>
          <w:sz w:val="18"/>
          <w:szCs w:val="18"/>
          <w:lang w:val="de-CH"/>
        </w:rPr>
        <w:t>Das Finanzvermögen w</w:t>
      </w:r>
      <w:r w:rsidR="00DC652D" w:rsidRPr="00DE658B">
        <w:rPr>
          <w:rFonts w:ascii="Arial" w:hAnsi="Arial" w:cs="Arial"/>
          <w:color w:val="0070C0"/>
          <w:sz w:val="18"/>
          <w:szCs w:val="18"/>
          <w:lang w:val="de-CH"/>
        </w:rPr>
        <w:t>u</w:t>
      </w:r>
      <w:r w:rsidRPr="00DE658B">
        <w:rPr>
          <w:rFonts w:ascii="Arial" w:hAnsi="Arial" w:cs="Arial"/>
          <w:color w:val="0070C0"/>
          <w:sz w:val="18"/>
          <w:szCs w:val="18"/>
          <w:lang w:val="de-CH"/>
        </w:rPr>
        <w:t>rd</w:t>
      </w:r>
      <w:r w:rsidR="00DC652D" w:rsidRPr="00DE658B">
        <w:rPr>
          <w:rFonts w:ascii="Arial" w:hAnsi="Arial" w:cs="Arial"/>
          <w:color w:val="0070C0"/>
          <w:sz w:val="18"/>
          <w:szCs w:val="18"/>
          <w:lang w:val="de-CH"/>
        </w:rPr>
        <w:t>e</w:t>
      </w:r>
      <w:r w:rsidRPr="00DE658B">
        <w:rPr>
          <w:rFonts w:ascii="Arial" w:hAnsi="Arial" w:cs="Arial"/>
          <w:color w:val="0070C0"/>
          <w:sz w:val="18"/>
          <w:szCs w:val="18"/>
          <w:lang w:val="de-CH"/>
        </w:rPr>
        <w:t xml:space="preserve"> auf der Grundlage eines ausführlichen Berichts eines im Sinne des Obligationenrechts besonders befähigten Revisors zum Verkehrswert neu bewertet. Das positive </w:t>
      </w:r>
      <w:r w:rsidR="00DC652D" w:rsidRPr="00DE658B">
        <w:rPr>
          <w:rFonts w:ascii="Arial" w:hAnsi="Arial" w:cs="Arial"/>
          <w:color w:val="0070C0"/>
          <w:sz w:val="18"/>
          <w:szCs w:val="18"/>
          <w:lang w:val="de-CH"/>
        </w:rPr>
        <w:t>E</w:t>
      </w:r>
      <w:r w:rsidRPr="00DE658B">
        <w:rPr>
          <w:rFonts w:ascii="Arial" w:hAnsi="Arial" w:cs="Arial"/>
          <w:color w:val="0070C0"/>
          <w:sz w:val="18"/>
          <w:szCs w:val="18"/>
          <w:lang w:val="de-CH"/>
        </w:rPr>
        <w:t>rgebnis</w:t>
      </w:r>
      <w:r w:rsidR="00DC652D" w:rsidRPr="00DE658B">
        <w:rPr>
          <w:rFonts w:ascii="Arial" w:hAnsi="Arial" w:cs="Arial"/>
          <w:color w:val="0070C0"/>
          <w:sz w:val="18"/>
          <w:szCs w:val="18"/>
          <w:lang w:val="de-CH"/>
        </w:rPr>
        <w:t xml:space="preserve"> der Neubewertung</w:t>
      </w:r>
      <w:r w:rsidRPr="00DE658B">
        <w:rPr>
          <w:rFonts w:ascii="Arial" w:hAnsi="Arial" w:cs="Arial"/>
          <w:color w:val="0070C0"/>
          <w:sz w:val="18"/>
          <w:szCs w:val="18"/>
          <w:lang w:val="de-CH"/>
        </w:rPr>
        <w:t xml:space="preserve"> muss als Neubewertungsreserve des Finanzvermögens bilanziert werden. Diese Reserve, welche im Eigenkapital ausgewiesen wird, kann nur bei dauerhaftem Verlust oder Verkauf des Finanzvermögens aufgelöst werden</w:t>
      </w:r>
      <w:r w:rsidRPr="00DE658B">
        <w:rPr>
          <w:rFonts w:ascii="Arial" w:hAnsi="Arial" w:cs="Arial"/>
          <w:sz w:val="18"/>
          <w:szCs w:val="18"/>
          <w:lang w:val="de-CH"/>
        </w:rPr>
        <w:t>.</w:t>
      </w:r>
    </w:p>
    <w:p w:rsidR="00123019" w:rsidRPr="00264166"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8252BE" w:rsidRPr="00DE658B">
        <w:rPr>
          <w:rFonts w:ascii="Arial" w:hAnsi="Arial" w:cs="Arial"/>
          <w:color w:val="FF0000"/>
          <w:sz w:val="18"/>
          <w:szCs w:val="18"/>
          <w:lang w:val="de-CH"/>
        </w:rPr>
        <w:t xml:space="preserve">Das Finanzvermögen ist in der Bilanz mit seinem Buchwert erfasst. </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Rückstellungen und Rechnungsabgrenzungen wurden neu bewertet.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t>Die Aufwertung des Verwaltungsvermögens ist nicht gestattet.</w:t>
      </w:r>
    </w:p>
    <w:p w:rsidR="00123019" w:rsidRPr="00DE658B" w:rsidRDefault="00123019" w:rsidP="00E41A23">
      <w:pPr>
        <w:spacing w:after="60"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DC652D" w:rsidRPr="00DE658B">
        <w:rPr>
          <w:rFonts w:ascii="Arial" w:hAnsi="Arial" w:cs="Arial"/>
          <w:color w:val="0070C0"/>
          <w:sz w:val="18"/>
          <w:szCs w:val="18"/>
          <w:lang w:val="de-CH"/>
        </w:rPr>
        <w:t xml:space="preserve">Parzellierte Grundstücke von übrigen Tiefbauten (Bilanzkonto 1403) und Hochbauten </w:t>
      </w:r>
      <w:r w:rsidR="00AE5D88" w:rsidRPr="00DE658B">
        <w:rPr>
          <w:rFonts w:ascii="Arial" w:hAnsi="Arial" w:cs="Arial"/>
          <w:color w:val="0070C0"/>
          <w:sz w:val="18"/>
          <w:szCs w:val="18"/>
          <w:lang w:val="de-CH"/>
        </w:rPr>
        <w:t xml:space="preserve">(Bilanzkonto 1404) werden </w:t>
      </w:r>
      <w:r w:rsidR="00DC652D" w:rsidRPr="00DE658B">
        <w:rPr>
          <w:rFonts w:ascii="Arial" w:hAnsi="Arial" w:cs="Arial"/>
          <w:color w:val="0070C0"/>
          <w:sz w:val="18"/>
          <w:szCs w:val="18"/>
          <w:lang w:val="de-CH"/>
        </w:rPr>
        <w:t xml:space="preserve">in </w:t>
      </w:r>
      <w:r w:rsidR="00AE5D88" w:rsidRPr="00DE658B">
        <w:rPr>
          <w:rFonts w:ascii="Arial" w:hAnsi="Arial" w:cs="Arial"/>
          <w:color w:val="0070C0"/>
          <w:sz w:val="18"/>
          <w:szCs w:val="18"/>
          <w:lang w:val="de-CH"/>
        </w:rPr>
        <w:t xml:space="preserve">den </w:t>
      </w:r>
      <w:r w:rsidR="00592797" w:rsidRPr="00DE658B">
        <w:rPr>
          <w:rFonts w:ascii="Arial" w:hAnsi="Arial" w:cs="Arial"/>
          <w:color w:val="0070C0"/>
          <w:sz w:val="18"/>
          <w:szCs w:val="18"/>
          <w:lang w:val="de-CH"/>
        </w:rPr>
        <w:t>entsprechenden</w:t>
      </w:r>
      <w:r w:rsidR="00AE5D88" w:rsidRPr="00DE658B">
        <w:rPr>
          <w:rFonts w:ascii="Arial" w:hAnsi="Arial" w:cs="Arial"/>
          <w:color w:val="0070C0"/>
          <w:sz w:val="18"/>
          <w:szCs w:val="18"/>
          <w:lang w:val="de-CH"/>
        </w:rPr>
        <w:t xml:space="preserve"> Sachgruppen</w:t>
      </w:r>
      <w:r w:rsidR="00DC652D" w:rsidRPr="00DE658B">
        <w:rPr>
          <w:rFonts w:ascii="Arial" w:hAnsi="Arial" w:cs="Arial"/>
          <w:color w:val="0070C0"/>
          <w:sz w:val="18"/>
          <w:szCs w:val="18"/>
          <w:lang w:val="de-CH"/>
        </w:rPr>
        <w:t xml:space="preserve"> erfasst </w:t>
      </w:r>
      <w:r w:rsidR="00AE5D88" w:rsidRPr="00DE658B">
        <w:rPr>
          <w:rFonts w:ascii="Arial" w:hAnsi="Arial" w:cs="Arial"/>
          <w:color w:val="0070C0"/>
          <w:sz w:val="18"/>
          <w:szCs w:val="18"/>
          <w:lang w:val="de-CH"/>
        </w:rPr>
        <w:t xml:space="preserve">und </w:t>
      </w:r>
      <w:r w:rsidR="00592797" w:rsidRPr="00DE658B">
        <w:rPr>
          <w:rFonts w:ascii="Arial" w:hAnsi="Arial" w:cs="Arial"/>
          <w:color w:val="0070C0"/>
          <w:sz w:val="18"/>
          <w:szCs w:val="18"/>
          <w:lang w:val="de-CH"/>
        </w:rPr>
        <w:t xml:space="preserve">in der Folge </w:t>
      </w:r>
      <w:r w:rsidR="00AE5D88" w:rsidRPr="00DE658B">
        <w:rPr>
          <w:rFonts w:ascii="Arial" w:hAnsi="Arial" w:cs="Arial"/>
          <w:color w:val="0070C0"/>
          <w:sz w:val="18"/>
          <w:szCs w:val="18"/>
          <w:lang w:val="de-CH"/>
        </w:rPr>
        <w:t>abgeschrieben</w:t>
      </w:r>
      <w:r w:rsidR="00DC652D" w:rsidRPr="00DE658B">
        <w:rPr>
          <w:rFonts w:ascii="Arial" w:hAnsi="Arial" w:cs="Arial"/>
          <w:color w:val="0070C0"/>
          <w:sz w:val="18"/>
          <w:szCs w:val="18"/>
          <w:lang w:val="de-CH"/>
        </w:rPr>
        <w:t>.</w:t>
      </w:r>
    </w:p>
    <w:p w:rsidR="00123019" w:rsidRPr="00DE658B" w:rsidRDefault="00123019" w:rsidP="00C51496">
      <w:pPr>
        <w:spacing w:line="240" w:lineRule="atLeast"/>
        <w:ind w:left="850" w:hanging="425"/>
        <w:jc w:val="both"/>
        <w:rPr>
          <w:rFonts w:ascii="Arial" w:hAnsi="Arial" w:cs="Arial"/>
          <w:sz w:val="18"/>
          <w:szCs w:val="18"/>
          <w:lang w:val="de-CH"/>
        </w:rPr>
      </w:pPr>
      <w:r w:rsidRPr="00DE658B">
        <w:rPr>
          <w:rFonts w:ascii="Arial" w:hAnsi="Arial" w:cs="Arial"/>
          <w:sz w:val="18"/>
          <w:szCs w:val="18"/>
          <w:lang w:val="de-CH"/>
        </w:rPr>
        <w:t>-</w:t>
      </w:r>
      <w:r w:rsidRPr="00DE658B">
        <w:rPr>
          <w:rFonts w:ascii="Arial" w:hAnsi="Arial" w:cs="Arial"/>
          <w:sz w:val="18"/>
          <w:szCs w:val="18"/>
          <w:lang w:val="de-CH"/>
        </w:rPr>
        <w:tab/>
      </w:r>
      <w:r w:rsidR="00AE5D88" w:rsidRPr="00DE658B">
        <w:rPr>
          <w:rFonts w:ascii="Arial" w:hAnsi="Arial" w:cs="Arial"/>
          <w:color w:val="FF0000"/>
          <w:sz w:val="18"/>
          <w:szCs w:val="18"/>
          <w:lang w:val="de-CH"/>
        </w:rPr>
        <w:t xml:space="preserve">Parzellierte Grundstücke von übrigen Tiefbauten (Bilanzkonto 1403) und Hochbauten (Bilanzkonto 1404) werden in spezifischen Konten </w:t>
      </w:r>
      <w:r w:rsidR="00592797" w:rsidRPr="00DE658B">
        <w:rPr>
          <w:rFonts w:ascii="Arial" w:hAnsi="Arial" w:cs="Arial"/>
          <w:color w:val="FF0000"/>
          <w:sz w:val="18"/>
          <w:szCs w:val="18"/>
          <w:lang w:val="de-CH"/>
        </w:rPr>
        <w:t xml:space="preserve">für Grundstücke des Verwaltungsvermögens (Bilanzkonto 1400) </w:t>
      </w:r>
      <w:r w:rsidR="00AE5D88" w:rsidRPr="00DE658B">
        <w:rPr>
          <w:rFonts w:ascii="Arial" w:hAnsi="Arial" w:cs="Arial"/>
          <w:color w:val="FF0000"/>
          <w:sz w:val="18"/>
          <w:szCs w:val="18"/>
          <w:lang w:val="de-CH"/>
        </w:rPr>
        <w:t>erfasst.</w:t>
      </w:r>
    </w:p>
    <w:p w:rsidR="00123019" w:rsidRPr="00DE658B" w:rsidRDefault="00123019" w:rsidP="00AC5EFF">
      <w:pPr>
        <w:spacing w:after="0"/>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3. Finanzhaushaltsgrundsätze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 xml:space="preserve">Die Haushaltsführung richtet sich nach den Grundsätzen der Gesetzmässigkeit, des Haushaltsgleichgewichts auf Zeit, der Sparsamkeit, der Dringlichkeit, </w:t>
      </w:r>
      <w:r w:rsidR="0049201F" w:rsidRPr="00DE658B">
        <w:rPr>
          <w:rFonts w:ascii="Arial" w:hAnsi="Arial" w:cs="Arial"/>
          <w:sz w:val="18"/>
          <w:szCs w:val="18"/>
          <w:lang w:val="de-CH"/>
        </w:rPr>
        <w:t xml:space="preserve">der Wirtschaftlichkeit, </w:t>
      </w:r>
      <w:r w:rsidRPr="00DE658B">
        <w:rPr>
          <w:rFonts w:ascii="Arial" w:hAnsi="Arial" w:cs="Arial"/>
          <w:sz w:val="18"/>
          <w:szCs w:val="18"/>
          <w:lang w:val="de-CH"/>
        </w:rPr>
        <w:t>des Verursacherprinzips, der Vorteilsabgeltung, des Verbots der Zweckbindung von Hauptsteuern, der Wirkungsorientierung, der Verursacherfinanzierung und der finanziellen Transparenz.</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4. Buchführungsgrundsätze</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 xml:space="preserve">Die Buchführung erfasst chronologisch und systematisch die Geschäftsvorfälle gegen aussen sowie die internen Verrechnungen. Die Buchführung richtet sich nach den Grundsätzen der </w:t>
      </w:r>
      <w:proofErr w:type="spellStart"/>
      <w:r w:rsidRPr="00DE658B">
        <w:rPr>
          <w:rFonts w:ascii="Arial" w:hAnsi="Arial" w:cs="Arial"/>
          <w:sz w:val="18"/>
          <w:szCs w:val="18"/>
          <w:lang w:val="de-CH"/>
        </w:rPr>
        <w:t>Jährlichkeit</w:t>
      </w:r>
      <w:proofErr w:type="spellEnd"/>
      <w:r w:rsidRPr="00DE658B">
        <w:rPr>
          <w:rFonts w:ascii="Arial" w:hAnsi="Arial" w:cs="Arial"/>
          <w:sz w:val="18"/>
          <w:szCs w:val="18"/>
          <w:lang w:val="de-CH"/>
        </w:rPr>
        <w:t>, der Spezifikation und der Vollständigkeit.</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35028A">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5. Rechnungslegungsgrundsätze</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Die Rechnungslegung gibt ein Bild des Finanzhaushalts, welches möglichst weitgehend der tatsächlichen Vermögens-, Finanz- und Ertragslage entspricht.</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lastRenderedPageBreak/>
        <w:t>Die Rechnungslegung richtet sich nach den Grundsätzen der Vergleichbarkeit, der Bruttodarstellung, der Periodenabgrenzung, der Fortführung, der Wesentlichkeit, der Verständlichkeit, der Zuverlässigkeit und der Stetigkeit.</w:t>
      </w:r>
    </w:p>
    <w:p w:rsidR="00123019" w:rsidRPr="00DE658B" w:rsidRDefault="00123019" w:rsidP="00E41A23">
      <w:pPr>
        <w:spacing w:after="0" w:line="240" w:lineRule="atLeast"/>
        <w:jc w:val="both"/>
        <w:rPr>
          <w:rFonts w:ascii="Arial" w:hAnsi="Arial" w:cs="Arial"/>
          <w:sz w:val="18"/>
          <w:szCs w:val="18"/>
          <w:lang w:val="de-CH"/>
        </w:rPr>
      </w:pPr>
    </w:p>
    <w:p w:rsidR="00123019" w:rsidRPr="00242A5A" w:rsidRDefault="00123019" w:rsidP="00E62BE3">
      <w:pPr>
        <w:pBdr>
          <w:bottom w:val="single" w:sz="12" w:space="1" w:color="FF0000"/>
        </w:pBdr>
        <w:jc w:val="both"/>
        <w:rPr>
          <w:rFonts w:ascii="Arial" w:hAnsi="Arial" w:cs="Arial"/>
          <w:b/>
          <w:sz w:val="28"/>
          <w:szCs w:val="28"/>
          <w:lang w:val="de-CH"/>
        </w:rPr>
      </w:pPr>
      <w:r w:rsidRPr="00242A5A">
        <w:rPr>
          <w:rFonts w:ascii="Arial" w:hAnsi="Arial" w:cs="Arial"/>
          <w:b/>
          <w:sz w:val="28"/>
          <w:szCs w:val="28"/>
          <w:lang w:val="de-CH"/>
        </w:rPr>
        <w:t>6. Grundsätze der Bilanz</w:t>
      </w:r>
      <w:r w:rsidR="00E62BE3" w:rsidRPr="00242A5A">
        <w:rPr>
          <w:rFonts w:ascii="Arial" w:hAnsi="Arial" w:cs="Arial"/>
          <w:b/>
          <w:sz w:val="28"/>
          <w:szCs w:val="28"/>
          <w:lang w:val="de-CH"/>
        </w:rPr>
        <w:t>ierung und der Bewertung</w:t>
      </w:r>
    </w:p>
    <w:p w:rsidR="00123019" w:rsidRPr="00242A5A" w:rsidRDefault="00123019" w:rsidP="00E62BE3">
      <w:pPr>
        <w:spacing w:after="0"/>
        <w:jc w:val="both"/>
        <w:rPr>
          <w:rFonts w:ascii="Arial" w:hAnsi="Arial" w:cs="Arial"/>
          <w:b/>
          <w:sz w:val="24"/>
          <w:szCs w:val="24"/>
          <w:lang w:val="de-CH"/>
        </w:rPr>
      </w:pPr>
      <w:r w:rsidRPr="00242A5A">
        <w:rPr>
          <w:rFonts w:ascii="Arial" w:hAnsi="Arial" w:cs="Arial"/>
          <w:b/>
          <w:sz w:val="24"/>
          <w:szCs w:val="24"/>
          <w:lang w:val="de-CH"/>
        </w:rPr>
        <w:t>6.1. Aktiven</w:t>
      </w:r>
    </w:p>
    <w:p w:rsidR="00123019" w:rsidRPr="00242A5A" w:rsidRDefault="00123019" w:rsidP="00E41A23">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6.1.1. Finanzvermögen (FV)</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Das Finanzvermögen wird in der Bilanz </w:t>
      </w:r>
      <w:r w:rsidRPr="00DE658B">
        <w:rPr>
          <w:rFonts w:ascii="Arial" w:hAnsi="Arial" w:cs="Arial"/>
          <w:color w:val="FF0000"/>
          <w:sz w:val="18"/>
          <w:szCs w:val="18"/>
          <w:lang w:val="de-CH"/>
        </w:rPr>
        <w:t xml:space="preserve">mit dem Buchwert </w:t>
      </w:r>
      <w:r w:rsidRPr="00DE658B">
        <w:rPr>
          <w:rFonts w:ascii="Arial" w:hAnsi="Arial" w:cs="Arial"/>
          <w:sz w:val="18"/>
          <w:szCs w:val="18"/>
          <w:lang w:val="de-CH"/>
        </w:rPr>
        <w:t xml:space="preserve">/ </w:t>
      </w:r>
      <w:r w:rsidRPr="00DE658B">
        <w:rPr>
          <w:rFonts w:ascii="Arial" w:hAnsi="Arial" w:cs="Arial"/>
          <w:color w:val="0070C0"/>
          <w:sz w:val="18"/>
          <w:szCs w:val="18"/>
          <w:lang w:val="de-CH"/>
        </w:rPr>
        <w:t>Verkehrswert erfasst</w:t>
      </w:r>
      <w:r w:rsidRPr="00DE658B">
        <w:rPr>
          <w:rFonts w:ascii="Arial" w:hAnsi="Arial" w:cs="Arial"/>
          <w:sz w:val="18"/>
          <w:szCs w:val="18"/>
          <w:lang w:val="de-CH"/>
        </w:rPr>
        <w:t xml:space="preserve">. Es wird abgeschrieben, wenn Verluste oder Wertminderungen festgestellt werden. Im Falle eines unentgeltlichen Erwerbs einer Anlage </w:t>
      </w:r>
      <w:r w:rsidR="0048464A" w:rsidRPr="00DE658B">
        <w:rPr>
          <w:rFonts w:ascii="Arial" w:hAnsi="Arial" w:cs="Arial"/>
          <w:sz w:val="18"/>
          <w:szCs w:val="18"/>
          <w:lang w:val="de-CH"/>
        </w:rPr>
        <w:t xml:space="preserve">ist </w:t>
      </w:r>
      <w:r w:rsidR="003E6B1D" w:rsidRPr="00DE658B">
        <w:rPr>
          <w:rFonts w:ascii="Arial" w:hAnsi="Arial" w:cs="Arial"/>
          <w:sz w:val="18"/>
          <w:szCs w:val="18"/>
          <w:lang w:val="de-CH"/>
        </w:rPr>
        <w:t xml:space="preserve">diese </w:t>
      </w:r>
      <w:r w:rsidR="0048464A" w:rsidRPr="00DE658B">
        <w:rPr>
          <w:rFonts w:ascii="Arial" w:hAnsi="Arial" w:cs="Arial"/>
          <w:sz w:val="18"/>
          <w:szCs w:val="18"/>
          <w:lang w:val="de-CH"/>
        </w:rPr>
        <w:t>zum</w:t>
      </w:r>
      <w:r w:rsidRPr="00DE658B">
        <w:rPr>
          <w:rFonts w:ascii="Arial" w:hAnsi="Arial" w:cs="Arial"/>
          <w:sz w:val="18"/>
          <w:szCs w:val="18"/>
          <w:lang w:val="de-CH"/>
        </w:rPr>
        <w:t xml:space="preserve"> Verkehrswert </w:t>
      </w:r>
      <w:r w:rsidR="0048464A" w:rsidRPr="00DE658B">
        <w:rPr>
          <w:rFonts w:ascii="Arial" w:hAnsi="Arial" w:cs="Arial"/>
          <w:sz w:val="18"/>
          <w:szCs w:val="18"/>
          <w:lang w:val="de-CH"/>
        </w:rPr>
        <w:t>zu bewerten</w:t>
      </w:r>
      <w:r w:rsidRPr="00DE658B">
        <w:rPr>
          <w:rFonts w:ascii="Arial" w:hAnsi="Arial" w:cs="Arial"/>
          <w:sz w:val="18"/>
          <w:szCs w:val="18"/>
          <w:lang w:val="de-CH"/>
        </w:rPr>
        <w:t>.</w:t>
      </w:r>
    </w:p>
    <w:p w:rsidR="00123019" w:rsidRPr="00DE658B" w:rsidRDefault="00123019" w:rsidP="00E41A23">
      <w:pPr>
        <w:spacing w:after="60" w:line="240" w:lineRule="atLeast"/>
        <w:jc w:val="both"/>
        <w:rPr>
          <w:rFonts w:ascii="Arial" w:hAnsi="Arial" w:cs="Arial"/>
          <w:color w:val="0070C0"/>
          <w:sz w:val="18"/>
          <w:szCs w:val="18"/>
          <w:lang w:val="de-CH"/>
        </w:rPr>
      </w:pPr>
      <w:r w:rsidRPr="00DE658B">
        <w:rPr>
          <w:rFonts w:ascii="Arial" w:hAnsi="Arial" w:cs="Arial"/>
          <w:color w:val="0070C0"/>
          <w:sz w:val="18"/>
          <w:szCs w:val="18"/>
          <w:lang w:val="de-CH"/>
        </w:rPr>
        <w:t xml:space="preserve">Folgebewertungen von Finanzvermögen </w:t>
      </w:r>
      <w:r w:rsidR="00CE5690">
        <w:rPr>
          <w:rFonts w:ascii="Arial" w:hAnsi="Arial" w:cs="Arial"/>
          <w:color w:val="0070C0"/>
          <w:sz w:val="18"/>
          <w:szCs w:val="18"/>
          <w:lang w:val="de-CH"/>
        </w:rPr>
        <w:t xml:space="preserve">dürfen frühestens nach </w:t>
      </w:r>
      <w:r w:rsidRPr="00DE658B">
        <w:rPr>
          <w:rFonts w:ascii="Arial" w:hAnsi="Arial" w:cs="Arial"/>
          <w:color w:val="0070C0"/>
          <w:sz w:val="18"/>
          <w:szCs w:val="18"/>
          <w:lang w:val="de-CH"/>
        </w:rPr>
        <w:t>5 Jahren durch einen besonders befähigten Revisor vor</w:t>
      </w:r>
      <w:r w:rsidR="00CE5690">
        <w:rPr>
          <w:rFonts w:ascii="Arial" w:hAnsi="Arial" w:cs="Arial"/>
          <w:color w:val="0070C0"/>
          <w:sz w:val="18"/>
          <w:szCs w:val="18"/>
          <w:lang w:val="de-CH"/>
        </w:rPr>
        <w:t>genommen werden</w:t>
      </w:r>
      <w:r w:rsidRPr="00DE658B">
        <w:rPr>
          <w:rFonts w:ascii="Arial" w:hAnsi="Arial" w:cs="Arial"/>
          <w:color w:val="0070C0"/>
          <w:sz w:val="18"/>
          <w:szCs w:val="18"/>
          <w:lang w:val="de-CH"/>
        </w:rPr>
        <w:t xml:space="preserve">. Die letzte Neubewertung erfolgte am </w:t>
      </w:r>
      <w:r w:rsidRPr="00DE658B">
        <w:rPr>
          <w:rFonts w:ascii="Arial" w:hAnsi="Arial" w:cs="Arial"/>
          <w:color w:val="0070C0"/>
          <w:sz w:val="18"/>
          <w:szCs w:val="18"/>
          <w:highlight w:val="yellow"/>
          <w:lang w:val="de-CH"/>
        </w:rPr>
        <w:t>..........</w:t>
      </w:r>
      <w:r w:rsidRPr="00DE658B">
        <w:rPr>
          <w:rFonts w:ascii="Arial" w:hAnsi="Arial" w:cs="Arial"/>
          <w:color w:val="0070C0"/>
          <w:sz w:val="18"/>
          <w:szCs w:val="18"/>
          <w:lang w:val="de-CH"/>
        </w:rPr>
        <w:t xml:space="preserve"> </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Alle neuen Elemente des FV erfolgen zu den untenstehenden Bewertungsgrundsätzen.</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Flüssige Mittel und kurzfristige Geldanlagen (Bilanz-Konto 100)</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Die flüssigen Mittel</w:t>
      </w:r>
      <w:r w:rsidR="005E2027">
        <w:rPr>
          <w:rFonts w:ascii="Arial" w:hAnsi="Arial" w:cs="Arial"/>
          <w:sz w:val="18"/>
          <w:szCs w:val="18"/>
          <w:lang w:val="de-CH"/>
        </w:rPr>
        <w:t xml:space="preserve"> </w:t>
      </w:r>
      <w:r w:rsidR="005E2027" w:rsidRPr="00DE658B">
        <w:rPr>
          <w:rFonts w:ascii="Arial" w:hAnsi="Arial" w:cs="Arial"/>
          <w:sz w:val="18"/>
          <w:szCs w:val="18"/>
          <w:lang w:val="de-CH"/>
        </w:rPr>
        <w:t>und kurzfristige</w:t>
      </w:r>
      <w:r w:rsidR="005E2027">
        <w:rPr>
          <w:rFonts w:ascii="Arial" w:hAnsi="Arial" w:cs="Arial"/>
          <w:sz w:val="18"/>
          <w:szCs w:val="18"/>
          <w:lang w:val="de-CH"/>
        </w:rPr>
        <w:t>n</w:t>
      </w:r>
      <w:r w:rsidR="005E2027" w:rsidRPr="00DE658B">
        <w:rPr>
          <w:rFonts w:ascii="Arial" w:hAnsi="Arial" w:cs="Arial"/>
          <w:sz w:val="18"/>
          <w:szCs w:val="18"/>
          <w:lang w:val="de-CH"/>
        </w:rPr>
        <w:t xml:space="preserve"> Geldanlagen</w:t>
      </w:r>
      <w:r w:rsidRPr="00DE658B">
        <w:rPr>
          <w:rFonts w:ascii="Arial" w:hAnsi="Arial" w:cs="Arial"/>
          <w:sz w:val="18"/>
          <w:szCs w:val="18"/>
          <w:lang w:val="de-CH"/>
        </w:rPr>
        <w:t xml:space="preserve"> umfassen Kassenbestände, Post- und Bankvermögen, offene Posten bei Debit- und Kreditkarten sowie kurzfristige Geldmarktanlagen (weniger als 90 Tage). Die Bewertung erfolgt zum Anschaffungswert, Nominalwert, oder, </w:t>
      </w:r>
      <w:r w:rsidR="00E62BE3" w:rsidRPr="00DE658B">
        <w:rPr>
          <w:rFonts w:ascii="Arial" w:hAnsi="Arial" w:cs="Arial"/>
          <w:sz w:val="18"/>
          <w:szCs w:val="18"/>
          <w:lang w:val="de-CH"/>
        </w:rPr>
        <w:t>falls tiefer, zum Verkehrswert.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Forderungen (Bilanz-Konto 101)</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Zu den kurzfristigen Forderungen gehören alle ausstehenden und in Rechnung gestellten Ansprüche gegenüber Dritten.</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Jedes Jahr am 31. Dezember wird eine allgemeine Wertberichtigung auf Forderungen verbucht.</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Zudem werden spezifische Wertberichtigungen (Delkredere) </w:t>
      </w:r>
      <w:r w:rsidR="00E62BE3" w:rsidRPr="00DE658B">
        <w:rPr>
          <w:rFonts w:ascii="Arial" w:hAnsi="Arial" w:cs="Arial"/>
          <w:sz w:val="18"/>
          <w:szCs w:val="18"/>
          <w:lang w:val="de-CH"/>
        </w:rPr>
        <w:t>auf Steuerforderungen verbucht.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Finanzanlagen (Bilanz-Konto 102)</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Kurzfristige Finanzanlagen sind monetäre Anlagen (kurzfristige Darlehen, verzinsliche Anlagen, Festgelder etc.), welche in der Regel mit dem Ziel der Fristenkongruenz gehalten werden und eine Rendite erzielen können. Die Laufzeiten liegen zwischen 90 Tagen und einem Jahr. Die Bewertung erfolgt zum Anschaffungswert, Nominalwert, oder, </w:t>
      </w:r>
      <w:r w:rsidR="00E62BE3" w:rsidRPr="00DE658B">
        <w:rPr>
          <w:rFonts w:ascii="Arial" w:hAnsi="Arial" w:cs="Arial"/>
          <w:sz w:val="18"/>
          <w:szCs w:val="18"/>
          <w:lang w:val="de-CH"/>
        </w:rPr>
        <w:t>falls tiefer, zum Verkehrswert.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Aktive Rechnungsabgrenzungen (Bilanz-Konto 104)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Zweck der aktiven Rechnungsabgrenzung ist die periodengerechte Rechnungslegung. Alle Aufwände, Erträge, Einnahmen und Ausgaben werden in derjenigen Periode erfasst, in welcher sie verursacht werden. Die Rechnungsabgrenzungen werden zum Nominalwert bewertet. Der Grenzwert für die Bilanzierung einer aktiven</w:t>
      </w:r>
      <w:r w:rsidR="0066029B" w:rsidRPr="00DE658B">
        <w:rPr>
          <w:rFonts w:ascii="Arial" w:hAnsi="Arial" w:cs="Arial"/>
          <w:sz w:val="18"/>
          <w:szCs w:val="18"/>
          <w:lang w:val="de-CH"/>
        </w:rPr>
        <w:t xml:space="preserve"> Rechnungsabgrenzung beträgt Fr </w:t>
      </w:r>
      <w:r w:rsidRPr="00DE658B">
        <w:rPr>
          <w:rFonts w:ascii="Arial" w:hAnsi="Arial" w:cs="Arial"/>
          <w:sz w:val="18"/>
          <w:szCs w:val="18"/>
          <w:highlight w:val="yellow"/>
          <w:lang w:val="de-CH"/>
        </w:rPr>
        <w: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Vorräte (Bilanz-Konto 106)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Handelswaren und Roh- und Hilfsmaterial werden zu Anschaffungskosten oder zum tiefer l</w:t>
      </w:r>
      <w:r w:rsidR="00E62BE3" w:rsidRPr="00DE658B">
        <w:rPr>
          <w:rFonts w:ascii="Arial" w:hAnsi="Arial" w:cs="Arial"/>
          <w:sz w:val="18"/>
          <w:szCs w:val="18"/>
          <w:lang w:val="de-CH"/>
        </w:rPr>
        <w:t>iegenden Verkehrswert bewertet.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Finanzanlagen (Bilanz-Konto 107)</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Langfristige Finanzanlagen haben eine Laufzeit von über einem Jahr. Sie zählen zum Finanzvermögen, da sie nicht unmittelbar zur Erfüllung öffentlicher Aufgaben dienen. Die Aktien, Anteilscheine, verzinslichen Anlagen (Obligationen, Hypotheken) und langfristigen Forderungen werden zum Verkehrswert oder Nominalwert bilanziert. Die Unterscheidung der Bilanzrubrik zwischen langfristig und kurzfristig wird während der Laufz</w:t>
      </w:r>
      <w:r w:rsidR="00E62BE3" w:rsidRPr="00DE658B">
        <w:rPr>
          <w:rFonts w:ascii="Arial" w:hAnsi="Arial" w:cs="Arial"/>
          <w:sz w:val="18"/>
          <w:szCs w:val="18"/>
          <w:lang w:val="de-CH"/>
        </w:rPr>
        <w:t>eit der Anlage nicht angepasst.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Sachanlagen Finanzvermögen (Bilanz-Konto 108)</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Die Sachanlagen im Finanzvermögen dienen nicht unmittelbar zur Erfüllung öffentlicher Aufgaben. Die Sachanlagen des Finanzvermögens werden zu den Anschaffung</w:t>
      </w:r>
      <w:r w:rsidR="00E62BE3" w:rsidRPr="00DE658B">
        <w:rPr>
          <w:rFonts w:ascii="Arial" w:hAnsi="Arial" w:cs="Arial"/>
          <w:sz w:val="18"/>
          <w:szCs w:val="18"/>
          <w:lang w:val="de-CH"/>
        </w:rPr>
        <w:t>s</w:t>
      </w:r>
      <w:r w:rsidR="00842A46" w:rsidRPr="00DE658B">
        <w:rPr>
          <w:rFonts w:ascii="Arial" w:hAnsi="Arial" w:cs="Arial"/>
          <w:sz w:val="18"/>
          <w:szCs w:val="18"/>
          <w:lang w:val="de-CH"/>
        </w:rPr>
        <w:t>- oder Erstellungs</w:t>
      </w:r>
      <w:r w:rsidR="00E62BE3" w:rsidRPr="00DE658B">
        <w:rPr>
          <w:rFonts w:ascii="Arial" w:hAnsi="Arial" w:cs="Arial"/>
          <w:sz w:val="18"/>
          <w:szCs w:val="18"/>
          <w:lang w:val="de-CH"/>
        </w:rPr>
        <w:t xml:space="preserve">kosten </w:t>
      </w:r>
      <w:r w:rsidR="00842A46" w:rsidRPr="00DE658B">
        <w:rPr>
          <w:rFonts w:ascii="Arial" w:hAnsi="Arial" w:cs="Arial"/>
          <w:sz w:val="18"/>
          <w:szCs w:val="18"/>
          <w:lang w:val="de-CH"/>
        </w:rPr>
        <w:t>bilanziert</w:t>
      </w:r>
      <w:r w:rsidR="00E62BE3" w:rsidRPr="00DE658B">
        <w:rPr>
          <w:rFonts w:ascii="Arial" w:hAnsi="Arial" w:cs="Arial"/>
          <w:sz w:val="18"/>
          <w:szCs w:val="18"/>
          <w:lang w:val="de-CH"/>
        </w:rPr>
        <w:t>.</w:t>
      </w:r>
    </w:p>
    <w:p w:rsidR="00123019" w:rsidRPr="00DE658B" w:rsidRDefault="00123019" w:rsidP="00E41A23">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Forderungen gegenüber Spezialfinanzierungen und Fonds im Fremdkapital (Bilanz-Konto 109)</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Forderungen gegenüber Spezialfinanzierungen und Fonds im Fremdkapital werden auf der Aktivseite bilanziert und übe</w:t>
      </w:r>
      <w:r w:rsidR="00E62BE3" w:rsidRPr="00DE658B">
        <w:rPr>
          <w:rFonts w:ascii="Arial" w:hAnsi="Arial" w:cs="Arial"/>
          <w:sz w:val="18"/>
          <w:szCs w:val="18"/>
          <w:lang w:val="de-CH"/>
        </w:rPr>
        <w:t>r die Erfolgsrechnung verbucht.</w:t>
      </w:r>
    </w:p>
    <w:p w:rsidR="00123019" w:rsidRPr="00242A5A" w:rsidRDefault="00123019" w:rsidP="00C51496">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lastRenderedPageBreak/>
        <w:t>6.1.2. Verwaltungsvermögen (VV)</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Im Verwaltungsvermögen befinden sich Positionen, welche der Erfüllung öffentlicher Aufgaben dienen und über die Investitionsrechnung aktiviert werden. Die Aktivierungsgrenze für eigene Investitionen beträgt Fr</w:t>
      </w:r>
      <w:r w:rsidRPr="00DE658B">
        <w:rPr>
          <w:rFonts w:ascii="Arial" w:hAnsi="Arial" w:cs="Arial"/>
          <w:sz w:val="18"/>
          <w:szCs w:val="18"/>
          <w:highlight w:val="yellow"/>
          <w:lang w:val="de-CH"/>
        </w:rPr>
        <w:t>. ………………</w:t>
      </w:r>
      <w:r w:rsidR="00E62BE3" w:rsidRPr="00DE658B">
        <w:rPr>
          <w:rFonts w:ascii="Arial" w:hAnsi="Arial" w:cs="Arial"/>
          <w:sz w:val="18"/>
          <w:szCs w:val="18"/>
          <w:lang w:val="de-CH"/>
        </w:rPr>
        <w:t xml:space="preserve"> pro Objekt oder Projekt.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Sachanlagen (Bilanz-Konto 1400)</w:t>
      </w:r>
    </w:p>
    <w:p w:rsidR="00123019" w:rsidRPr="00DE658B" w:rsidRDefault="00123019" w:rsidP="00C51496">
      <w:pPr>
        <w:spacing w:line="240" w:lineRule="atLeast"/>
        <w:jc w:val="both"/>
        <w:rPr>
          <w:rFonts w:ascii="Arial" w:hAnsi="Arial" w:cs="Arial"/>
          <w:sz w:val="18"/>
          <w:szCs w:val="18"/>
          <w:lang w:val="de-CH"/>
        </w:rPr>
      </w:pPr>
      <w:r w:rsidRPr="00DE658B">
        <w:rPr>
          <w:rFonts w:ascii="Arial" w:hAnsi="Arial" w:cs="Arial"/>
          <w:sz w:val="18"/>
          <w:szCs w:val="18"/>
          <w:lang w:val="de-CH"/>
        </w:rPr>
        <w:t>Anlagen im Verwaltungsvermögen werden zu</w:t>
      </w:r>
      <w:r w:rsidR="008B5B42" w:rsidRPr="00DE658B">
        <w:rPr>
          <w:rFonts w:ascii="Arial" w:hAnsi="Arial" w:cs="Arial"/>
          <w:sz w:val="18"/>
          <w:szCs w:val="18"/>
          <w:lang w:val="de-CH"/>
        </w:rPr>
        <w:t xml:space="preserve"> Anschaffungs- beziehungsweise E</w:t>
      </w:r>
      <w:r w:rsidRPr="00DE658B">
        <w:rPr>
          <w:rFonts w:ascii="Arial" w:hAnsi="Arial" w:cs="Arial"/>
          <w:sz w:val="18"/>
          <w:szCs w:val="18"/>
          <w:lang w:val="de-CH"/>
        </w:rPr>
        <w:t xml:space="preserve">rstellungskosten bilanziert. Die Sachanlagen des Verwaltungsvermögens, die durch Nutzung einer Wertminderung unterliegen, werden je Anlagekategorie auf </w:t>
      </w:r>
      <w:r w:rsidR="00AC5EFF" w:rsidRPr="00DE658B">
        <w:rPr>
          <w:rFonts w:ascii="Arial" w:hAnsi="Arial" w:cs="Arial"/>
          <w:sz w:val="18"/>
          <w:szCs w:val="18"/>
          <w:lang w:val="de-CH"/>
        </w:rPr>
        <w:t>dem Restbuchwert abgeschrieben.</w:t>
      </w:r>
    </w:p>
    <w:p w:rsidR="00123019" w:rsidRPr="00DE658B" w:rsidRDefault="00123019" w:rsidP="00C51496">
      <w:pPr>
        <w:spacing w:line="240" w:lineRule="atLeast"/>
        <w:jc w:val="both"/>
        <w:rPr>
          <w:rFonts w:ascii="Arial" w:hAnsi="Arial" w:cs="Arial"/>
          <w:i/>
          <w:sz w:val="18"/>
          <w:szCs w:val="18"/>
          <w:lang w:val="de-CH"/>
        </w:rPr>
      </w:pPr>
      <w:r w:rsidRPr="00DE658B">
        <w:rPr>
          <w:rFonts w:ascii="Arial" w:hAnsi="Arial" w:cs="Arial"/>
          <w:i/>
          <w:sz w:val="18"/>
          <w:szCs w:val="18"/>
          <w:lang w:val="de-CH"/>
        </w:rPr>
        <w:t xml:space="preserve">Liste der </w:t>
      </w:r>
      <w:r w:rsidR="00F61418" w:rsidRPr="00DE658B">
        <w:rPr>
          <w:rFonts w:ascii="Arial" w:hAnsi="Arial" w:cs="Arial"/>
          <w:i/>
          <w:sz w:val="18"/>
          <w:szCs w:val="18"/>
          <w:lang w:val="de-CH"/>
        </w:rPr>
        <w:t>planmässigen</w:t>
      </w:r>
      <w:r w:rsidRPr="00DE658B">
        <w:rPr>
          <w:rFonts w:ascii="Arial" w:hAnsi="Arial" w:cs="Arial"/>
          <w:i/>
          <w:sz w:val="18"/>
          <w:szCs w:val="18"/>
          <w:lang w:val="de-CH"/>
        </w:rPr>
        <w:t xml:space="preserve"> Abschreibungssätze:</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Grundstücke: 0% (Bilanz-Konto 1400)</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Strassen/Verkehrswege:</w:t>
      </w:r>
      <w:r w:rsidRPr="00DE658B">
        <w:rPr>
          <w:rFonts w:ascii="Arial" w:hAnsi="Arial" w:cs="Arial"/>
          <w:color w:val="0070C0"/>
          <w:sz w:val="18"/>
          <w:szCs w:val="18"/>
          <w:lang w:val="de-CH"/>
        </w:rPr>
        <w:t xml:space="preserve"> 7% bis 10% </w:t>
      </w:r>
      <w:r w:rsidRPr="00DE658B">
        <w:rPr>
          <w:rFonts w:ascii="Arial" w:hAnsi="Arial" w:cs="Arial"/>
          <w:sz w:val="18"/>
          <w:szCs w:val="18"/>
          <w:lang w:val="de-CH"/>
        </w:rPr>
        <w:t>(Bilanz-Konto 1401)</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Wasserbau: </w:t>
      </w:r>
      <w:r w:rsidRPr="00DE658B">
        <w:rPr>
          <w:rFonts w:ascii="Arial" w:hAnsi="Arial" w:cs="Arial"/>
          <w:color w:val="0070C0"/>
          <w:sz w:val="18"/>
          <w:szCs w:val="18"/>
          <w:lang w:val="de-CH"/>
        </w:rPr>
        <w:t xml:space="preserve">7% bis 10% </w:t>
      </w:r>
      <w:r w:rsidRPr="00DE658B">
        <w:rPr>
          <w:rFonts w:ascii="Arial" w:hAnsi="Arial" w:cs="Arial"/>
          <w:sz w:val="18"/>
          <w:szCs w:val="18"/>
          <w:lang w:val="de-CH"/>
        </w:rPr>
        <w:t>(Bilanz-Konto 1402)</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Übrige Tiefbauten </w:t>
      </w:r>
      <w:r w:rsidRPr="00DE658B">
        <w:rPr>
          <w:rFonts w:ascii="Arial" w:hAnsi="Arial" w:cs="Arial"/>
          <w:color w:val="0070C0"/>
          <w:sz w:val="18"/>
          <w:szCs w:val="18"/>
          <w:lang w:val="de-CH"/>
        </w:rPr>
        <w:t xml:space="preserve">7% bis 10% </w:t>
      </w:r>
      <w:r w:rsidRPr="00DE658B">
        <w:rPr>
          <w:rFonts w:ascii="Arial" w:hAnsi="Arial" w:cs="Arial"/>
          <w:sz w:val="18"/>
          <w:szCs w:val="18"/>
          <w:lang w:val="de-CH"/>
        </w:rPr>
        <w:t>(Bilanz-Konto 1403)</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Hochbauten: </w:t>
      </w:r>
      <w:r w:rsidRPr="00DE658B">
        <w:rPr>
          <w:rFonts w:ascii="Arial" w:hAnsi="Arial" w:cs="Arial"/>
          <w:color w:val="0070C0"/>
          <w:sz w:val="18"/>
          <w:szCs w:val="18"/>
          <w:lang w:val="de-CH"/>
        </w:rPr>
        <w:t xml:space="preserve">8% bis 15% </w:t>
      </w:r>
      <w:r w:rsidRPr="00DE658B">
        <w:rPr>
          <w:rFonts w:ascii="Arial" w:hAnsi="Arial" w:cs="Arial"/>
          <w:sz w:val="18"/>
          <w:szCs w:val="18"/>
          <w:lang w:val="de-CH"/>
        </w:rPr>
        <w:t>(Bilanz-Konto 1404)</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Waldungen: 0% (Bilanz-Konto 1405)</w:t>
      </w:r>
    </w:p>
    <w:p w:rsidR="00123019" w:rsidRPr="00DE658B" w:rsidRDefault="00123019" w:rsidP="00E41A23">
      <w:pPr>
        <w:spacing w:after="60" w:line="240" w:lineRule="atLeast"/>
        <w:jc w:val="both"/>
        <w:rPr>
          <w:rFonts w:ascii="Arial" w:hAnsi="Arial" w:cs="Arial"/>
          <w:sz w:val="18"/>
          <w:szCs w:val="18"/>
          <w:lang w:val="de-CH"/>
        </w:rPr>
      </w:pPr>
      <w:r w:rsidRPr="00DE658B">
        <w:rPr>
          <w:rFonts w:ascii="Arial" w:hAnsi="Arial" w:cs="Arial"/>
          <w:sz w:val="18"/>
          <w:szCs w:val="18"/>
          <w:lang w:val="de-CH"/>
        </w:rPr>
        <w:t xml:space="preserve">Mobilien: </w:t>
      </w:r>
      <w:r w:rsidRPr="00DE658B">
        <w:rPr>
          <w:rFonts w:ascii="Arial" w:hAnsi="Arial" w:cs="Arial"/>
          <w:color w:val="0070C0"/>
          <w:sz w:val="18"/>
          <w:szCs w:val="18"/>
          <w:lang w:val="de-CH"/>
        </w:rPr>
        <w:t xml:space="preserve">35% bis 60% </w:t>
      </w:r>
      <w:r w:rsidRPr="00DE658B">
        <w:rPr>
          <w:rFonts w:ascii="Arial" w:hAnsi="Arial" w:cs="Arial"/>
          <w:sz w:val="18"/>
          <w:szCs w:val="18"/>
          <w:lang w:val="de-CH"/>
        </w:rPr>
        <w:t>(Bilanz-Konto 1406)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übrige Sacha</w:t>
      </w:r>
      <w:r w:rsidR="00E62BE3" w:rsidRPr="00DE658B">
        <w:rPr>
          <w:rFonts w:ascii="Arial" w:hAnsi="Arial" w:cs="Arial"/>
          <w:sz w:val="18"/>
          <w:szCs w:val="18"/>
          <w:lang w:val="de-CH"/>
        </w:rPr>
        <w:t>nlagen: 50% (Bilanz-Konto 1409)</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Immaterielle Anlagen (Bilanz-Konto 142)</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Immaterielle Anlagen enthalten Software, Lizenzen, Nutzungsrechte und übrige immaterielle Anlagen. Der </w:t>
      </w:r>
      <w:r w:rsidR="00F61418" w:rsidRPr="00DE658B">
        <w:rPr>
          <w:rFonts w:ascii="Arial" w:hAnsi="Arial" w:cs="Arial"/>
          <w:sz w:val="18"/>
          <w:szCs w:val="18"/>
          <w:lang w:val="de-CH"/>
        </w:rPr>
        <w:t>planmässige</w:t>
      </w:r>
      <w:r w:rsidR="00E62BE3" w:rsidRPr="00DE658B">
        <w:rPr>
          <w:rFonts w:ascii="Arial" w:hAnsi="Arial" w:cs="Arial"/>
          <w:sz w:val="18"/>
          <w:szCs w:val="18"/>
          <w:lang w:val="de-CH"/>
        </w:rPr>
        <w:t xml:space="preserve"> Abschreibungssatz beträgt 50%.</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Darlehen (Bilanz-Konto 144)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Darlehen werden in der Regel zum Nominalwert bilanziert. Wird eine dauernde Wertminderung festgestellt, ist eine B</w:t>
      </w:r>
      <w:r w:rsidR="00E62BE3" w:rsidRPr="00DE658B">
        <w:rPr>
          <w:rFonts w:ascii="Arial" w:hAnsi="Arial" w:cs="Arial"/>
          <w:sz w:val="18"/>
          <w:szCs w:val="18"/>
          <w:lang w:val="de-CH"/>
        </w:rPr>
        <w:t>ewertungskorrektur vorzunehmen.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Beteiligungen, Grundkapitalien (Bilanz-Konto 145)</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Beteiligungen </w:t>
      </w:r>
      <w:r w:rsidR="00BC4131" w:rsidRPr="00DE658B">
        <w:rPr>
          <w:rFonts w:ascii="Arial" w:hAnsi="Arial" w:cs="Arial"/>
          <w:sz w:val="18"/>
          <w:szCs w:val="18"/>
          <w:lang w:val="de-CH"/>
        </w:rPr>
        <w:t xml:space="preserve">und Grundkapitalien </w:t>
      </w:r>
      <w:r w:rsidRPr="00DE658B">
        <w:rPr>
          <w:rFonts w:ascii="Arial" w:hAnsi="Arial" w:cs="Arial"/>
          <w:sz w:val="18"/>
          <w:szCs w:val="18"/>
          <w:lang w:val="de-CH"/>
        </w:rPr>
        <w:t>sind Anteile am Kapital anderer Unternehmen, Betriebe und Anstalten, die mit der Absicht der dauernden Anlage gehalten werden. Sie werden höchstens zum Anschaffungswert bilanziert. Wird eine dauernde Wertminderung festgestellt, ist eine B</w:t>
      </w:r>
      <w:r w:rsidR="00E62BE3" w:rsidRPr="00DE658B">
        <w:rPr>
          <w:rFonts w:ascii="Arial" w:hAnsi="Arial" w:cs="Arial"/>
          <w:sz w:val="18"/>
          <w:szCs w:val="18"/>
          <w:lang w:val="de-CH"/>
        </w:rPr>
        <w:t>ewertungskorrektur vorzunehmen.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Investitionsbeiträge (Bilanz-Konto 146)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Investitionsbeiträge sind geldwerte Leistungen, die vom Empfänger genutzt werden, um dauerhafte Vermögenswerte mit Investitionscharakter zu erlangen. Der </w:t>
      </w:r>
      <w:r w:rsidR="00E47833" w:rsidRPr="00DE658B">
        <w:rPr>
          <w:rFonts w:ascii="Arial" w:hAnsi="Arial" w:cs="Arial"/>
          <w:sz w:val="18"/>
          <w:szCs w:val="18"/>
          <w:lang w:val="de-CH"/>
        </w:rPr>
        <w:t>planmässige</w:t>
      </w:r>
      <w:r w:rsidRPr="00DE658B">
        <w:rPr>
          <w:rFonts w:ascii="Arial" w:hAnsi="Arial" w:cs="Arial"/>
          <w:sz w:val="18"/>
          <w:szCs w:val="18"/>
          <w:lang w:val="de-CH"/>
        </w:rPr>
        <w:t xml:space="preserve"> Abschreibungssatz beträgt </w:t>
      </w:r>
      <w:r w:rsidRPr="00DE658B">
        <w:rPr>
          <w:rFonts w:ascii="Arial" w:hAnsi="Arial" w:cs="Arial"/>
          <w:color w:val="0070C0"/>
          <w:sz w:val="18"/>
          <w:szCs w:val="18"/>
          <w:lang w:val="de-CH"/>
        </w:rPr>
        <w:t>10% bis 100%.</w:t>
      </w:r>
    </w:p>
    <w:p w:rsidR="00123019" w:rsidRPr="00242A5A" w:rsidRDefault="00123019" w:rsidP="00E62BE3">
      <w:pPr>
        <w:spacing w:after="0"/>
        <w:jc w:val="both"/>
        <w:rPr>
          <w:rFonts w:ascii="Arial" w:hAnsi="Arial" w:cs="Arial"/>
          <w:b/>
          <w:sz w:val="24"/>
          <w:szCs w:val="24"/>
          <w:lang w:val="de-CH"/>
        </w:rPr>
      </w:pPr>
      <w:r w:rsidRPr="00242A5A">
        <w:rPr>
          <w:rFonts w:ascii="Arial" w:hAnsi="Arial" w:cs="Arial"/>
          <w:b/>
          <w:sz w:val="24"/>
          <w:szCs w:val="24"/>
          <w:lang w:val="de-CH"/>
        </w:rPr>
        <w:t>6.2. Passiven</w:t>
      </w:r>
    </w:p>
    <w:p w:rsidR="00123019" w:rsidRPr="00242A5A" w:rsidRDefault="00123019" w:rsidP="000411AE">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6.2.1. Fremdkapital (FK)</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Laufende Verbindlichkeiten (Bilanz-Konto 200)</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Laufende Verbindlichkeiten sind monetäre Schulden, die in der Regel innerhalb von zwölf Monaten nach dem Bilanzstichtag zur Tilgung vorgesehen sind. Die Bilanz</w:t>
      </w:r>
      <w:r w:rsidR="00AC5EFF" w:rsidRPr="00DE658B">
        <w:rPr>
          <w:rFonts w:ascii="Arial" w:hAnsi="Arial" w:cs="Arial"/>
          <w:sz w:val="18"/>
          <w:szCs w:val="18"/>
          <w:lang w:val="de-CH"/>
        </w:rPr>
        <w:t>ierung erfolgt zum Nominalwert.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Finanzverbindlichkeiten (Bilanz-Konto 201)</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Kurzfristige Finanzverbindlichkeiten sind Verbindlichkeiten aus Finanzierungsgeschäften mit einer Laufzeit von bis zu einem Jahr. Die Bew</w:t>
      </w:r>
      <w:r w:rsidR="00AC5EFF" w:rsidRPr="00DE658B">
        <w:rPr>
          <w:rFonts w:ascii="Arial" w:hAnsi="Arial" w:cs="Arial"/>
          <w:sz w:val="18"/>
          <w:szCs w:val="18"/>
          <w:lang w:val="de-CH"/>
        </w:rPr>
        <w:t>ertung erfolgt zum Nominalwert.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Passive Rechnungsabgrenzung (Bilanz-Konto 204)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Zweck der passiven Rechnungsabgrenzung ist die periodengerechte Rechnungslegung. Alle Aufwände, Erträge, Einnahmen und Ausgaben werden in derjenigen Periode erfasst, in welcher sie verursacht werden. Die Rechnungsabgrenzungen werden zum Nominalwert bewertet. Der Grenzwert für die Bilanzierung einer passiven Rechnungsabgrenzung beträgt Fr. </w:t>
      </w:r>
      <w:r w:rsidRPr="00DE658B">
        <w:rPr>
          <w:rFonts w:ascii="Arial" w:hAnsi="Arial" w:cs="Arial"/>
          <w:sz w:val="18"/>
          <w:szCs w:val="18"/>
          <w:highlight w:val="yellow"/>
          <w:lang w:val="de-CH"/>
        </w:rPr>
        <w:t>………………</w:t>
      </w:r>
    </w:p>
    <w:p w:rsidR="00BB03AF" w:rsidRDefault="00BB03AF" w:rsidP="00C51496">
      <w:pPr>
        <w:pBdr>
          <w:bottom w:val="single" w:sz="6" w:space="1" w:color="FF0000"/>
        </w:pBdr>
        <w:spacing w:after="0" w:line="240" w:lineRule="atLeast"/>
        <w:jc w:val="both"/>
        <w:rPr>
          <w:rFonts w:ascii="Arial" w:hAnsi="Arial" w:cs="Arial"/>
          <w:sz w:val="18"/>
          <w:szCs w:val="18"/>
          <w:lang w:val="de-CH"/>
        </w:rPr>
      </w:pPr>
      <w:r>
        <w:rPr>
          <w:rFonts w:ascii="Arial" w:hAnsi="Arial" w:cs="Arial"/>
          <w:sz w:val="18"/>
          <w:szCs w:val="18"/>
          <w:lang w:val="de-CH"/>
        </w:rPr>
        <w:br w:type="page"/>
      </w:r>
    </w:p>
    <w:p w:rsidR="004D7E02" w:rsidRDefault="004D7E02" w:rsidP="00C51496">
      <w:pPr>
        <w:pBdr>
          <w:bottom w:val="single" w:sz="6" w:space="1" w:color="FF0000"/>
        </w:pBdr>
        <w:spacing w:after="0" w:line="240" w:lineRule="atLeast"/>
        <w:jc w:val="both"/>
        <w:rPr>
          <w:rFonts w:ascii="Arial" w:hAnsi="Arial" w:cs="Arial"/>
          <w:sz w:val="18"/>
          <w:szCs w:val="18"/>
          <w:lang w:val="de-CH"/>
        </w:rPr>
      </w:pP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Kurzfristige Rückstellungen (Bilanz-Konto 205)</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Rückstellungen werden für bestehende Verpflichtungen </w:t>
      </w:r>
      <w:r w:rsidR="00234933">
        <w:rPr>
          <w:rFonts w:ascii="Arial" w:hAnsi="Arial" w:cs="Arial"/>
          <w:sz w:val="18"/>
          <w:szCs w:val="18"/>
          <w:lang w:val="de-CH"/>
        </w:rPr>
        <w:t xml:space="preserve">(vor Bilanzstichtag) </w:t>
      </w:r>
      <w:r w:rsidRPr="00DE658B">
        <w:rPr>
          <w:rFonts w:ascii="Arial" w:hAnsi="Arial" w:cs="Arial"/>
          <w:sz w:val="18"/>
          <w:szCs w:val="18"/>
          <w:lang w:val="de-CH"/>
        </w:rPr>
        <w:t xml:space="preserve">gebildet, bei denen der Zeitpunkt der Erfüllung und/oder die Höhe des künftigen Mittelabflusses mit Unsicherheiten behaftet sind, aber geschätzt werden können. Kurzfristig ist eine Rückstellung dann, wenn der Mittelabfluss innerhalb eines Jahres nach Bilanzstichtag erwartet wird. Rückstellungen werden jedes Jahr per 31.12. neu bewertet. Der Grenzwert für die Bilanzierung einer kurzfristigen Rückstellung beträgt Fr. </w:t>
      </w:r>
      <w:r w:rsidRPr="00DE658B">
        <w:rPr>
          <w:rFonts w:ascii="Arial" w:hAnsi="Arial" w:cs="Arial"/>
          <w:sz w:val="18"/>
          <w:szCs w:val="18"/>
          <w:highlight w:val="yellow"/>
          <w:lang w:val="de-CH"/>
        </w:rPr>
        <w: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Finanzverbindlichkeiten (Bilanz-Konto 206)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Langfristige Finanzverbindlichkeiten sind Verbindlichkeiten aus Finanzierungsgeschäften, die in der Regel in mehr als zwölf Monaten nach dem Bilanzstichtag zur Rückzahlung </w:t>
      </w:r>
      <w:r w:rsidR="00234933">
        <w:rPr>
          <w:rFonts w:ascii="Arial" w:hAnsi="Arial" w:cs="Arial"/>
          <w:sz w:val="18"/>
          <w:szCs w:val="18"/>
          <w:lang w:val="de-CH"/>
        </w:rPr>
        <w:t>fällig</w:t>
      </w:r>
      <w:r w:rsidRPr="00DE658B">
        <w:rPr>
          <w:rFonts w:ascii="Arial" w:hAnsi="Arial" w:cs="Arial"/>
          <w:sz w:val="18"/>
          <w:szCs w:val="18"/>
          <w:lang w:val="de-CH"/>
        </w:rPr>
        <w:t xml:space="preserve"> sind. Die Bewertung erfolgt zum Nominalwert. Die Unterscheidung der Bilanzrubriken zwischen langfristig und kurzfristig wird während der Laufz</w:t>
      </w:r>
      <w:r w:rsidR="00AC5EFF" w:rsidRPr="00DE658B">
        <w:rPr>
          <w:rFonts w:ascii="Arial" w:hAnsi="Arial" w:cs="Arial"/>
          <w:sz w:val="18"/>
          <w:szCs w:val="18"/>
          <w:lang w:val="de-CH"/>
        </w:rPr>
        <w:t>eit der Anlage nicht angepasst.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Langfristige Rückstellungen (Bilanz-Konto 208)</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Rückstellungen werden für bestehende Verpflichtungen </w:t>
      </w:r>
      <w:r w:rsidR="00234933">
        <w:rPr>
          <w:rFonts w:ascii="Arial" w:hAnsi="Arial" w:cs="Arial"/>
          <w:sz w:val="18"/>
          <w:szCs w:val="18"/>
          <w:lang w:val="de-CH"/>
        </w:rPr>
        <w:t xml:space="preserve">(vor Bilanzstichtag) </w:t>
      </w:r>
      <w:r w:rsidRPr="00DE658B">
        <w:rPr>
          <w:rFonts w:ascii="Arial" w:hAnsi="Arial" w:cs="Arial"/>
          <w:sz w:val="18"/>
          <w:szCs w:val="18"/>
          <w:lang w:val="de-CH"/>
        </w:rPr>
        <w:t>gebildet, bei denen der Zeitpunkt der Erfüllung und/oder die Höhe des künftigen Mittelabflusses mit Unsicherheiten behaftet sind, aber geschätzt werden können. Langfristig ist eine Rückstellung dann, wenn der Mittelabfluss nach</w:t>
      </w:r>
      <w:r w:rsidR="00317D36" w:rsidRPr="00DE658B">
        <w:rPr>
          <w:rFonts w:ascii="Arial" w:hAnsi="Arial" w:cs="Arial"/>
          <w:sz w:val="18"/>
          <w:szCs w:val="18"/>
          <w:lang w:val="de-CH"/>
        </w:rPr>
        <w:t xml:space="preserve"> </w:t>
      </w:r>
      <w:r w:rsidR="00264166">
        <w:rPr>
          <w:rFonts w:ascii="Arial" w:hAnsi="Arial" w:cs="Arial"/>
          <w:sz w:val="18"/>
          <w:szCs w:val="18"/>
          <w:lang w:val="de-CH"/>
        </w:rPr>
        <w:t>mehr als</w:t>
      </w:r>
      <w:r w:rsidRPr="00DE658B">
        <w:rPr>
          <w:rFonts w:ascii="Arial" w:hAnsi="Arial" w:cs="Arial"/>
          <w:sz w:val="18"/>
          <w:szCs w:val="18"/>
          <w:lang w:val="de-CH"/>
        </w:rPr>
        <w:t xml:space="preserve"> einem Jahr nach Bilanzstichtag erwartet wird. Rückstellungen werden jedes Jahr per 31.12. neu bewertet. Der Grenzwert für die Bilanzierung einer langfristigen Rückstellung beträgt Fr. </w:t>
      </w:r>
      <w:r w:rsidRPr="00DE658B">
        <w:rPr>
          <w:rFonts w:ascii="Arial" w:hAnsi="Arial" w:cs="Arial"/>
          <w:sz w:val="18"/>
          <w:szCs w:val="18"/>
          <w:highlight w:val="yellow"/>
          <w:lang w:val="de-CH"/>
        </w:rPr>
        <w:t>………………</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Verbindlichkeiten gegenüber Spezialfinanzierungen und Fonds im Fremdkapital (Bilanz-Konto 209)</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Mit einer Spezialfinanzierung werden Mittel zur Erfüllung bestimmter öffentlicher Aufgaben zweckgebunden. Spezialfinanzierungen werden dem FK zugeordnet, wenn die Rechtsgrundlage nicht geändert werden kann oder die Rechtsgrundlage auf übergeordnetem Recht basiert. </w:t>
      </w:r>
      <w:r w:rsidR="00A37B86" w:rsidRPr="00DE658B">
        <w:rPr>
          <w:rFonts w:ascii="Arial" w:hAnsi="Arial" w:cs="Arial"/>
          <w:sz w:val="18"/>
          <w:szCs w:val="18"/>
          <w:lang w:val="de-CH"/>
        </w:rPr>
        <w:t>Sie werden auf der Passivseite bilanziert und über die Erfolgsrechnung verbucht.</w:t>
      </w:r>
    </w:p>
    <w:p w:rsidR="00123019" w:rsidRPr="00242A5A" w:rsidRDefault="00123019" w:rsidP="00A37B86">
      <w:pPr>
        <w:pBdr>
          <w:bottom w:val="single" w:sz="12" w:space="1" w:color="FF0000"/>
        </w:pBdr>
        <w:jc w:val="both"/>
        <w:rPr>
          <w:rFonts w:ascii="Arial" w:hAnsi="Arial" w:cs="Arial"/>
          <w:b/>
          <w:sz w:val="24"/>
          <w:szCs w:val="24"/>
          <w:lang w:val="de-CH"/>
        </w:rPr>
      </w:pPr>
      <w:r w:rsidRPr="00242A5A">
        <w:rPr>
          <w:rFonts w:ascii="Arial" w:hAnsi="Arial" w:cs="Arial"/>
          <w:b/>
          <w:sz w:val="24"/>
          <w:szCs w:val="24"/>
          <w:lang w:val="de-CH"/>
        </w:rPr>
        <w:t>6.2.2. Eigenkapital (EK)</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Spezialfinanzierungen und Fonds im EK (Bilanz-Konto 290 und 291)</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 xml:space="preserve">Mit einer Spezialfinanzierung werden Mittel zur Erfüllung bestimmter öffentlicher Aufgaben zweckgebunden. Spezialfinanzierungen werden dem EK zugeordnet, wenn für sie die Rechtsgrundlage geändert werden kann oder die Rechtsgrundlage auf übergeordnetem Recht basiert, diese aber dem eigenen Gemeinwesen einen erheblichen Gestaltungsspielraum offenlässt. </w:t>
      </w:r>
      <w:r w:rsidR="00BA34FA" w:rsidRPr="00DE658B">
        <w:rPr>
          <w:rFonts w:ascii="Arial" w:hAnsi="Arial" w:cs="Arial"/>
          <w:sz w:val="18"/>
          <w:szCs w:val="18"/>
          <w:lang w:val="de-CH"/>
        </w:rPr>
        <w:t>Sie werden auf der Passivseite bilanziert und über die Erfolgsrechnung verbucht</w:t>
      </w:r>
      <w:r w:rsidRPr="00DE658B">
        <w:rPr>
          <w:rFonts w:ascii="Arial" w:hAnsi="Arial" w:cs="Arial"/>
          <w:sz w:val="18"/>
          <w:szCs w:val="18"/>
          <w:lang w:val="de-CH"/>
        </w:rPr>
        <w:t xml:space="preserve">. Die Vorschüsse für Spezialfinanzierungen im Eigenkapital werden als Negativwerte im Eigenkapital verbucht. Sie sind innerhalb von 8 Jahren nach der ersten Verbuchung in der Bilanz durch zukünftige Ertragsüberschüsse der </w:t>
      </w:r>
      <w:r w:rsidR="00AC5EFF" w:rsidRPr="00DE658B">
        <w:rPr>
          <w:rFonts w:ascii="Arial" w:hAnsi="Arial" w:cs="Arial"/>
          <w:sz w:val="18"/>
          <w:szCs w:val="18"/>
          <w:lang w:val="de-CH"/>
        </w:rPr>
        <w:t>betreffenden Aufgabe abzubauen.</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Finanzpolitische Reserven (Bilanz-Konto 294)</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Finanzpolitische Reserven sind Reserven, die für künftige Defizite der Erfolgsrechnung eingesetzt werden können. Eine Nachfinanzierung der finanzpolitisch</w:t>
      </w:r>
      <w:r w:rsidR="00AC5EFF" w:rsidRPr="00DE658B">
        <w:rPr>
          <w:rFonts w:ascii="Arial" w:hAnsi="Arial" w:cs="Arial"/>
          <w:sz w:val="18"/>
          <w:szCs w:val="18"/>
          <w:lang w:val="de-CH"/>
        </w:rPr>
        <w:t>en Reserven ist nicht zulässig.</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Neubewertungsreserve Finanzvermögen (Bilanz-Konto 296)</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Das positive Ergebnis der Neubewertung muss in der Bilanz in der Neubewertungsreserve von Finanzvermögen verbucht werden. Diese Reserve, die in der Bilanz unter dem Eigenkapital ausgewiesen wird, darf nur im Falle eines dauerhaften Wertverlustes oder des Verkaufs des Finanzvermögens aufgelöst werden. Eine Nachfinanzierung der Neubewertungsreserve von Finanzvermögen ist nicht zulässig.</w:t>
      </w:r>
    </w:p>
    <w:p w:rsidR="00123019" w:rsidRPr="00DE658B" w:rsidRDefault="00123019" w:rsidP="00C51496">
      <w:pPr>
        <w:pBdr>
          <w:bottom w:val="single" w:sz="6" w:space="1" w:color="FF0000"/>
        </w:pBdr>
        <w:spacing w:after="0" w:line="240" w:lineRule="atLeast"/>
        <w:jc w:val="both"/>
        <w:rPr>
          <w:rFonts w:ascii="Arial" w:hAnsi="Arial" w:cs="Arial"/>
          <w:sz w:val="18"/>
          <w:szCs w:val="18"/>
          <w:lang w:val="de-CH"/>
        </w:rPr>
      </w:pPr>
      <w:r w:rsidRPr="00DE658B">
        <w:rPr>
          <w:rFonts w:ascii="Arial" w:hAnsi="Arial" w:cs="Arial"/>
          <w:sz w:val="18"/>
          <w:szCs w:val="18"/>
          <w:lang w:val="de-CH"/>
        </w:rPr>
        <w:t>Bilanzüberschuss oder -</w:t>
      </w:r>
      <w:proofErr w:type="spellStart"/>
      <w:r w:rsidRPr="00DE658B">
        <w:rPr>
          <w:rFonts w:ascii="Arial" w:hAnsi="Arial" w:cs="Arial"/>
          <w:sz w:val="18"/>
          <w:szCs w:val="18"/>
          <w:lang w:val="de-CH"/>
        </w:rPr>
        <w:t>fehlbetrag</w:t>
      </w:r>
      <w:proofErr w:type="spellEnd"/>
      <w:r w:rsidRPr="00DE658B">
        <w:rPr>
          <w:rFonts w:ascii="Arial" w:hAnsi="Arial" w:cs="Arial"/>
          <w:sz w:val="18"/>
          <w:szCs w:val="18"/>
          <w:lang w:val="de-CH"/>
        </w:rPr>
        <w:t xml:space="preserve"> (Bilanz-Konto 299)</w:t>
      </w:r>
    </w:p>
    <w:p w:rsidR="00123019" w:rsidRPr="00DE658B" w:rsidRDefault="00123019" w:rsidP="00BB03AF">
      <w:pPr>
        <w:spacing w:after="240" w:line="240" w:lineRule="atLeast"/>
        <w:jc w:val="both"/>
        <w:rPr>
          <w:rFonts w:ascii="Arial" w:hAnsi="Arial" w:cs="Arial"/>
          <w:sz w:val="18"/>
          <w:szCs w:val="18"/>
          <w:lang w:val="de-CH"/>
        </w:rPr>
      </w:pPr>
      <w:r w:rsidRPr="00DE658B">
        <w:rPr>
          <w:rFonts w:ascii="Arial" w:hAnsi="Arial" w:cs="Arial"/>
          <w:sz w:val="18"/>
          <w:szCs w:val="18"/>
          <w:lang w:val="de-CH"/>
        </w:rPr>
        <w:t>Der Saldo ergibt sich aus den kumulierten Überschüssen und Defiziten</w:t>
      </w:r>
      <w:r w:rsidR="00C1033F" w:rsidRPr="00DE658B">
        <w:rPr>
          <w:rFonts w:ascii="Arial" w:hAnsi="Arial" w:cs="Arial"/>
          <w:sz w:val="18"/>
          <w:szCs w:val="18"/>
          <w:lang w:val="de-CH"/>
        </w:rPr>
        <w:t xml:space="preserve"> der</w:t>
      </w:r>
      <w:r w:rsidRPr="00DE658B">
        <w:rPr>
          <w:rFonts w:ascii="Arial" w:hAnsi="Arial" w:cs="Arial"/>
          <w:sz w:val="18"/>
          <w:szCs w:val="18"/>
          <w:lang w:val="de-CH"/>
        </w:rPr>
        <w:t xml:space="preserve"> Erfolgsrechnung. Im Falle eines Fehlbetrags verbleibt dieser </w:t>
      </w:r>
      <w:r w:rsidR="00C1033F" w:rsidRPr="00DE658B">
        <w:rPr>
          <w:rFonts w:ascii="Arial" w:hAnsi="Arial" w:cs="Arial"/>
          <w:sz w:val="18"/>
          <w:szCs w:val="18"/>
          <w:lang w:val="de-CH"/>
        </w:rPr>
        <w:t xml:space="preserve">Posten </w:t>
      </w:r>
      <w:r w:rsidRPr="00DE658B">
        <w:rPr>
          <w:rFonts w:ascii="Arial" w:hAnsi="Arial" w:cs="Arial"/>
          <w:sz w:val="18"/>
          <w:szCs w:val="18"/>
          <w:lang w:val="de-CH"/>
        </w:rPr>
        <w:t>in den Passiven, jedoch als negativer Wert. Er ist in einer Frist von maximal 4 Jahren nach desse</w:t>
      </w:r>
      <w:r w:rsidR="00C1033F" w:rsidRPr="00DE658B">
        <w:rPr>
          <w:rFonts w:ascii="Arial" w:hAnsi="Arial" w:cs="Arial"/>
          <w:sz w:val="18"/>
          <w:szCs w:val="18"/>
          <w:lang w:val="de-CH"/>
        </w:rPr>
        <w:t>n erstem</w:t>
      </w:r>
      <w:r w:rsidRPr="00DE658B">
        <w:rPr>
          <w:rFonts w:ascii="Arial" w:hAnsi="Arial" w:cs="Arial"/>
          <w:sz w:val="18"/>
          <w:szCs w:val="18"/>
          <w:lang w:val="de-CH"/>
        </w:rPr>
        <w:t xml:space="preserve"> </w:t>
      </w:r>
      <w:r w:rsidR="00C1033F" w:rsidRPr="00DE658B">
        <w:rPr>
          <w:rFonts w:ascii="Arial" w:hAnsi="Arial" w:cs="Arial"/>
          <w:sz w:val="18"/>
          <w:szCs w:val="18"/>
          <w:lang w:val="de-CH"/>
        </w:rPr>
        <w:t>Erscheinen</w:t>
      </w:r>
      <w:r w:rsidRPr="00DE658B">
        <w:rPr>
          <w:rFonts w:ascii="Arial" w:hAnsi="Arial" w:cs="Arial"/>
          <w:sz w:val="18"/>
          <w:szCs w:val="18"/>
          <w:lang w:val="de-CH"/>
        </w:rPr>
        <w:t xml:space="preserve"> in der Bilanz zu tilgen.</w:t>
      </w:r>
    </w:p>
    <w:p w:rsidR="007B6A59" w:rsidRDefault="007B6A59" w:rsidP="00C51496">
      <w:pPr>
        <w:spacing w:line="240" w:lineRule="atLeast"/>
        <w:jc w:val="both"/>
        <w:rPr>
          <w:rFonts w:ascii="Arial" w:hAnsi="Arial" w:cs="Arial"/>
          <w:sz w:val="18"/>
          <w:szCs w:val="18"/>
          <w:lang w:val="de-CH"/>
        </w:rPr>
      </w:pPr>
    </w:p>
    <w:p w:rsidR="000609E4" w:rsidRPr="00DE658B" w:rsidRDefault="000609E4" w:rsidP="00C51496">
      <w:pPr>
        <w:spacing w:line="240" w:lineRule="atLeast"/>
        <w:jc w:val="both"/>
        <w:rPr>
          <w:rFonts w:ascii="Arial" w:hAnsi="Arial" w:cs="Arial"/>
          <w:sz w:val="18"/>
          <w:szCs w:val="18"/>
          <w:lang w:val="de-CH"/>
        </w:rPr>
      </w:pPr>
      <w:r>
        <w:rPr>
          <w:rFonts w:ascii="Arial" w:hAnsi="Arial" w:cs="Arial"/>
          <w:sz w:val="18"/>
          <w:szCs w:val="18"/>
          <w:lang w:val="de-CH"/>
        </w:rPr>
        <w:t>VERSION vom 12.03.2021</w:t>
      </w:r>
    </w:p>
    <w:sectPr w:rsidR="000609E4" w:rsidRPr="00DE658B" w:rsidSect="00477124">
      <w:footerReference w:type="default" r:id="rId6"/>
      <w:pgSz w:w="11906" w:h="16838"/>
      <w:pgMar w:top="993" w:right="1417" w:bottom="993"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B86" w:rsidRDefault="00A37B86" w:rsidP="00A37B86">
      <w:pPr>
        <w:spacing w:after="0" w:line="240" w:lineRule="auto"/>
      </w:pPr>
      <w:r>
        <w:separator/>
      </w:r>
    </w:p>
  </w:endnote>
  <w:endnote w:type="continuationSeparator" w:id="0">
    <w:p w:rsidR="00A37B86" w:rsidRDefault="00A37B86" w:rsidP="00A3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61666"/>
      <w:docPartObj>
        <w:docPartGallery w:val="Page Numbers (Bottom of Page)"/>
        <w:docPartUnique/>
      </w:docPartObj>
    </w:sdtPr>
    <w:sdtEndPr/>
    <w:sdtContent>
      <w:sdt>
        <w:sdtPr>
          <w:id w:val="-1769616900"/>
          <w:docPartObj>
            <w:docPartGallery w:val="Page Numbers (Top of Page)"/>
            <w:docPartUnique/>
          </w:docPartObj>
        </w:sdtPr>
        <w:sdtEndPr/>
        <w:sdtContent>
          <w:p w:rsidR="00A37B86" w:rsidRDefault="00A37B86">
            <w:pPr>
              <w:pStyle w:val="Fuzeile"/>
              <w:jc w:val="right"/>
            </w:pPr>
            <w:r w:rsidRPr="00F61418">
              <w:rPr>
                <w:lang w:val="de-DE"/>
              </w:rPr>
              <w:t xml:space="preserve">Seite </w:t>
            </w:r>
            <w:r w:rsidRPr="00F61418">
              <w:rPr>
                <w:b/>
                <w:bCs/>
                <w:sz w:val="24"/>
                <w:szCs w:val="24"/>
              </w:rPr>
              <w:fldChar w:fldCharType="begin"/>
            </w:r>
            <w:r w:rsidRPr="00F61418">
              <w:rPr>
                <w:b/>
                <w:bCs/>
              </w:rPr>
              <w:instrText>PAGE</w:instrText>
            </w:r>
            <w:r w:rsidRPr="00F61418">
              <w:rPr>
                <w:b/>
                <w:bCs/>
                <w:sz w:val="24"/>
                <w:szCs w:val="24"/>
              </w:rPr>
              <w:fldChar w:fldCharType="separate"/>
            </w:r>
            <w:r w:rsidR="00D3154D">
              <w:rPr>
                <w:b/>
                <w:bCs/>
                <w:noProof/>
              </w:rPr>
              <w:t>5</w:t>
            </w:r>
            <w:r w:rsidRPr="00F61418">
              <w:rPr>
                <w:b/>
                <w:bCs/>
                <w:sz w:val="24"/>
                <w:szCs w:val="24"/>
              </w:rPr>
              <w:fldChar w:fldCharType="end"/>
            </w:r>
            <w:r w:rsidRPr="00F61418">
              <w:rPr>
                <w:lang w:val="de-DE"/>
              </w:rPr>
              <w:t xml:space="preserve"> von </w:t>
            </w:r>
            <w:r w:rsidRPr="00F61418">
              <w:rPr>
                <w:b/>
                <w:bCs/>
                <w:sz w:val="24"/>
                <w:szCs w:val="24"/>
              </w:rPr>
              <w:fldChar w:fldCharType="begin"/>
            </w:r>
            <w:r w:rsidRPr="00F61418">
              <w:rPr>
                <w:b/>
                <w:bCs/>
              </w:rPr>
              <w:instrText>NUMPAGES</w:instrText>
            </w:r>
            <w:r w:rsidRPr="00F61418">
              <w:rPr>
                <w:b/>
                <w:bCs/>
                <w:sz w:val="24"/>
                <w:szCs w:val="24"/>
              </w:rPr>
              <w:fldChar w:fldCharType="separate"/>
            </w:r>
            <w:r w:rsidR="00D3154D">
              <w:rPr>
                <w:b/>
                <w:bCs/>
                <w:noProof/>
              </w:rPr>
              <w:t>5</w:t>
            </w:r>
            <w:r w:rsidRPr="00F61418">
              <w:rPr>
                <w:b/>
                <w:bCs/>
                <w:sz w:val="24"/>
                <w:szCs w:val="24"/>
              </w:rPr>
              <w:fldChar w:fldCharType="end"/>
            </w:r>
          </w:p>
        </w:sdtContent>
      </w:sdt>
    </w:sdtContent>
  </w:sdt>
  <w:p w:rsidR="00A37B86" w:rsidRDefault="00A37B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B86" w:rsidRDefault="00A37B86" w:rsidP="00A37B86">
      <w:pPr>
        <w:spacing w:after="0" w:line="240" w:lineRule="auto"/>
      </w:pPr>
      <w:r>
        <w:separator/>
      </w:r>
    </w:p>
  </w:footnote>
  <w:footnote w:type="continuationSeparator" w:id="0">
    <w:p w:rsidR="00A37B86" w:rsidRDefault="00A37B86" w:rsidP="00A37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19"/>
    <w:rsid w:val="00033DF1"/>
    <w:rsid w:val="000411AE"/>
    <w:rsid w:val="000609E4"/>
    <w:rsid w:val="00123019"/>
    <w:rsid w:val="0017325D"/>
    <w:rsid w:val="0020332A"/>
    <w:rsid w:val="00234933"/>
    <w:rsid w:val="00242A5A"/>
    <w:rsid w:val="00264166"/>
    <w:rsid w:val="00317D36"/>
    <w:rsid w:val="0035028A"/>
    <w:rsid w:val="003E6B1D"/>
    <w:rsid w:val="00477124"/>
    <w:rsid w:val="00480787"/>
    <w:rsid w:val="0048464A"/>
    <w:rsid w:val="0049201F"/>
    <w:rsid w:val="004D7E02"/>
    <w:rsid w:val="00524A32"/>
    <w:rsid w:val="00592797"/>
    <w:rsid w:val="005E2027"/>
    <w:rsid w:val="005E5313"/>
    <w:rsid w:val="00616066"/>
    <w:rsid w:val="00655247"/>
    <w:rsid w:val="0066029B"/>
    <w:rsid w:val="006F3440"/>
    <w:rsid w:val="007B6A59"/>
    <w:rsid w:val="008252BE"/>
    <w:rsid w:val="008403D9"/>
    <w:rsid w:val="00841E5B"/>
    <w:rsid w:val="00842A46"/>
    <w:rsid w:val="008B5B42"/>
    <w:rsid w:val="008C57E6"/>
    <w:rsid w:val="008F3DEA"/>
    <w:rsid w:val="00994CCC"/>
    <w:rsid w:val="009F1553"/>
    <w:rsid w:val="00A37B86"/>
    <w:rsid w:val="00AA74D5"/>
    <w:rsid w:val="00AC5EFF"/>
    <w:rsid w:val="00AE3A96"/>
    <w:rsid w:val="00AE5D88"/>
    <w:rsid w:val="00BA34FA"/>
    <w:rsid w:val="00BB03AF"/>
    <w:rsid w:val="00BC4131"/>
    <w:rsid w:val="00C1033F"/>
    <w:rsid w:val="00C51496"/>
    <w:rsid w:val="00CE5690"/>
    <w:rsid w:val="00D3154D"/>
    <w:rsid w:val="00DA5921"/>
    <w:rsid w:val="00DC652D"/>
    <w:rsid w:val="00DE658B"/>
    <w:rsid w:val="00E2711A"/>
    <w:rsid w:val="00E41A23"/>
    <w:rsid w:val="00E47833"/>
    <w:rsid w:val="00E56D4D"/>
    <w:rsid w:val="00E62BE3"/>
    <w:rsid w:val="00E77A87"/>
    <w:rsid w:val="00EB0751"/>
    <w:rsid w:val="00F614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0F898"/>
  <w15:chartTrackingRefBased/>
  <w15:docId w15:val="{C5683247-048E-4EFE-A2F1-EF410F5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07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0787"/>
    <w:rPr>
      <w:rFonts w:ascii="Segoe UI" w:hAnsi="Segoe UI" w:cs="Segoe UI"/>
      <w:sz w:val="18"/>
      <w:szCs w:val="18"/>
    </w:rPr>
  </w:style>
  <w:style w:type="paragraph" w:styleId="Kopfzeile">
    <w:name w:val="header"/>
    <w:basedOn w:val="Standard"/>
    <w:link w:val="KopfzeileZchn"/>
    <w:uiPriority w:val="99"/>
    <w:unhideWhenUsed/>
    <w:rsid w:val="00A37B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7B86"/>
  </w:style>
  <w:style w:type="paragraph" w:styleId="Fuzeile">
    <w:name w:val="footer"/>
    <w:basedOn w:val="Standard"/>
    <w:link w:val="FuzeileZchn"/>
    <w:uiPriority w:val="99"/>
    <w:unhideWhenUsed/>
    <w:rsid w:val="00A37B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13649</Characters>
  <Application>Microsoft Office Word</Application>
  <DocSecurity>0</DocSecurity>
  <Lines>113</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BAGNOUD</dc:creator>
  <cp:keywords/>
  <dc:description/>
  <cp:lastModifiedBy>Ewald GRUBER</cp:lastModifiedBy>
  <cp:revision>13</cp:revision>
  <cp:lastPrinted>2020-08-13T13:02:00Z</cp:lastPrinted>
  <dcterms:created xsi:type="dcterms:W3CDTF">2020-08-13T12:10:00Z</dcterms:created>
  <dcterms:modified xsi:type="dcterms:W3CDTF">2021-07-09T07:48:00Z</dcterms:modified>
</cp:coreProperties>
</file>